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19F" w14:textId="77777777" w:rsidR="00927AB0" w:rsidRPr="00D80149" w:rsidRDefault="00927AB0" w:rsidP="009B79FF">
      <w:pPr>
        <w:spacing w:before="120" w:after="0" w:line="360" w:lineRule="auto"/>
        <w:rPr>
          <w:rFonts w:ascii="Arial" w:hAnsi="Arial" w:cs="Arial"/>
          <w:sz w:val="21"/>
          <w:szCs w:val="21"/>
          <w:lang w:eastAsia="it-IT"/>
        </w:rPr>
      </w:pPr>
    </w:p>
    <w:p w14:paraId="09E43A01" w14:textId="77777777" w:rsidR="00927AB0" w:rsidRPr="00D80149" w:rsidRDefault="00927AB0" w:rsidP="009B79FF">
      <w:pPr>
        <w:spacing w:before="120" w:after="0" w:line="360" w:lineRule="auto"/>
        <w:rPr>
          <w:rFonts w:ascii="Arial" w:hAnsi="Arial" w:cs="Arial"/>
          <w:sz w:val="21"/>
          <w:szCs w:val="21"/>
          <w:lang w:eastAsia="it-IT"/>
        </w:rPr>
      </w:pPr>
    </w:p>
    <w:p w14:paraId="1391F8A8" w14:textId="77777777" w:rsidR="00927AB0" w:rsidRPr="00D80149" w:rsidRDefault="00927AB0" w:rsidP="009B79FF">
      <w:pPr>
        <w:spacing w:before="120" w:after="0" w:line="360" w:lineRule="auto"/>
        <w:rPr>
          <w:rFonts w:ascii="Arial" w:hAnsi="Arial" w:cs="Arial"/>
          <w:sz w:val="21"/>
          <w:szCs w:val="21"/>
          <w:lang w:eastAsia="it-IT"/>
        </w:rPr>
      </w:pPr>
    </w:p>
    <w:p w14:paraId="61FCF2A9" w14:textId="77777777" w:rsidR="00927AB0" w:rsidRPr="00D80149" w:rsidRDefault="00927AB0" w:rsidP="009B79FF">
      <w:pPr>
        <w:spacing w:before="120" w:after="0" w:line="360" w:lineRule="auto"/>
        <w:rPr>
          <w:rFonts w:ascii="Arial" w:hAnsi="Arial" w:cs="Arial"/>
          <w:sz w:val="21"/>
          <w:szCs w:val="21"/>
          <w:lang w:eastAsia="it-IT"/>
        </w:rPr>
      </w:pPr>
    </w:p>
    <w:p w14:paraId="3FF62EFC" w14:textId="77777777" w:rsidR="00927AB0" w:rsidRPr="00D80149" w:rsidRDefault="00927AB0" w:rsidP="009B79FF">
      <w:pPr>
        <w:spacing w:before="120" w:after="0" w:line="360" w:lineRule="auto"/>
        <w:rPr>
          <w:rFonts w:ascii="Arial" w:hAnsi="Arial" w:cs="Arial"/>
          <w:sz w:val="21"/>
          <w:szCs w:val="21"/>
          <w:lang w:eastAsia="it-IT"/>
        </w:rPr>
      </w:pPr>
    </w:p>
    <w:p w14:paraId="62756178" w14:textId="77777777" w:rsidR="00927AB0" w:rsidRPr="00D80149" w:rsidRDefault="00927AB0" w:rsidP="009B79FF">
      <w:pPr>
        <w:spacing w:before="120" w:after="0" w:line="360" w:lineRule="auto"/>
        <w:rPr>
          <w:rFonts w:ascii="Arial" w:hAnsi="Arial" w:cs="Arial"/>
          <w:sz w:val="21"/>
          <w:szCs w:val="21"/>
          <w:lang w:eastAsia="it-IT"/>
        </w:rPr>
      </w:pPr>
    </w:p>
    <w:p w14:paraId="4C293653" w14:textId="77777777"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r w:rsidRPr="00D80149">
        <w:rPr>
          <w:rFonts w:ascii="Arial" w:hAnsi="Arial" w:cs="Arial"/>
          <w:b/>
          <w:bCs/>
          <w:color w:val="365F91"/>
          <w:sz w:val="21"/>
          <w:szCs w:val="21"/>
        </w:rPr>
        <w:t xml:space="preserve">Procedura negoziata per </w:t>
      </w:r>
      <w:r>
        <w:rPr>
          <w:rFonts w:ascii="Arial" w:hAnsi="Arial" w:cs="Arial"/>
          <w:b/>
          <w:bCs/>
          <w:color w:val="365F91"/>
          <w:sz w:val="21"/>
          <w:szCs w:val="21"/>
        </w:rPr>
        <w:t>la fornitura</w:t>
      </w:r>
      <w:r w:rsidRPr="00D80149">
        <w:rPr>
          <w:rFonts w:ascii="Arial" w:hAnsi="Arial" w:cs="Arial"/>
          <w:b/>
          <w:bCs/>
          <w:color w:val="365F91"/>
          <w:sz w:val="21"/>
          <w:szCs w:val="21"/>
        </w:rPr>
        <w:t xml:space="preserve"> </w:t>
      </w:r>
      <w:r>
        <w:rPr>
          <w:rFonts w:ascii="Arial" w:hAnsi="Arial" w:cs="Arial"/>
          <w:b/>
          <w:bCs/>
          <w:color w:val="365F91"/>
          <w:sz w:val="21"/>
          <w:szCs w:val="21"/>
        </w:rPr>
        <w:t>di ricerche di mercato nel biennio 2017-2018</w:t>
      </w:r>
      <w:r>
        <w:t xml:space="preserve"> </w:t>
      </w:r>
    </w:p>
    <w:p w14:paraId="6415E00C" w14:textId="77777777" w:rsidR="00927AB0" w:rsidRPr="00D80149" w:rsidRDefault="00927AB0" w:rsidP="009B79FF">
      <w:pPr>
        <w:spacing w:before="120" w:after="0" w:line="360" w:lineRule="auto"/>
        <w:rPr>
          <w:rFonts w:ascii="Arial" w:hAnsi="Arial" w:cs="Arial"/>
          <w:sz w:val="21"/>
          <w:szCs w:val="21"/>
          <w:lang w:eastAsia="it-IT"/>
        </w:rPr>
      </w:pPr>
    </w:p>
    <w:p w14:paraId="36411AA8" w14:textId="77777777" w:rsidR="00927AB0" w:rsidRPr="00D80149" w:rsidRDefault="00927AB0" w:rsidP="009B79FF">
      <w:pPr>
        <w:spacing w:before="120" w:after="0" w:line="360" w:lineRule="auto"/>
        <w:rPr>
          <w:rFonts w:ascii="Arial" w:hAnsi="Arial" w:cs="Arial"/>
          <w:sz w:val="21"/>
          <w:szCs w:val="21"/>
          <w:lang w:eastAsia="it-IT"/>
        </w:rPr>
      </w:pPr>
    </w:p>
    <w:p w14:paraId="7AA860E4" w14:textId="77777777" w:rsidR="00927AB0" w:rsidRPr="00D80149" w:rsidRDefault="00927AB0" w:rsidP="009B79FF">
      <w:pPr>
        <w:spacing w:before="120" w:after="0" w:line="360" w:lineRule="auto"/>
        <w:rPr>
          <w:rFonts w:ascii="Arial" w:hAnsi="Arial" w:cs="Arial"/>
          <w:sz w:val="21"/>
          <w:szCs w:val="21"/>
          <w:lang w:eastAsia="it-IT"/>
        </w:rPr>
      </w:pPr>
    </w:p>
    <w:p w14:paraId="36B4BA1A" w14:textId="77777777" w:rsidR="00927AB0" w:rsidRPr="00D80149" w:rsidRDefault="00927AB0" w:rsidP="009B79FF">
      <w:pPr>
        <w:spacing w:before="120" w:after="0" w:line="360" w:lineRule="auto"/>
        <w:rPr>
          <w:rFonts w:ascii="Arial" w:hAnsi="Arial" w:cs="Arial"/>
          <w:sz w:val="21"/>
          <w:szCs w:val="21"/>
          <w:lang w:eastAsia="it-IT"/>
        </w:rPr>
      </w:pPr>
      <w:bookmarkStart w:id="0" w:name="_GoBack"/>
      <w:bookmarkEnd w:id="0"/>
    </w:p>
    <w:p w14:paraId="4E544ED0" w14:textId="77777777" w:rsidR="00927AB0" w:rsidRPr="00D80149" w:rsidRDefault="00927AB0" w:rsidP="009B79FF">
      <w:pPr>
        <w:spacing w:before="120" w:after="0" w:line="360" w:lineRule="auto"/>
        <w:rPr>
          <w:rFonts w:ascii="Arial" w:hAnsi="Arial" w:cs="Arial"/>
          <w:sz w:val="21"/>
          <w:szCs w:val="21"/>
          <w:lang w:eastAsia="it-IT"/>
        </w:rPr>
      </w:pPr>
    </w:p>
    <w:p w14:paraId="13605376" w14:textId="77777777"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p>
    <w:p w14:paraId="716E9DCC" w14:textId="77777777"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r w:rsidRPr="00D80149">
        <w:rPr>
          <w:rFonts w:ascii="Arial" w:hAnsi="Arial" w:cs="Arial"/>
          <w:b/>
          <w:bCs/>
          <w:color w:val="365F91"/>
          <w:sz w:val="21"/>
          <w:szCs w:val="21"/>
        </w:rPr>
        <w:t>Capitolato Tecnico e speciale d'appalto</w:t>
      </w:r>
    </w:p>
    <w:p w14:paraId="3BA88356" w14:textId="77777777" w:rsidR="00927AB0" w:rsidRPr="00D80149" w:rsidRDefault="00927AB0" w:rsidP="009B79FF">
      <w:pPr>
        <w:autoSpaceDE w:val="0"/>
        <w:autoSpaceDN w:val="0"/>
        <w:adjustRightInd w:val="0"/>
        <w:spacing w:before="120" w:after="0" w:line="360" w:lineRule="auto"/>
        <w:rPr>
          <w:rFonts w:ascii="Arial" w:hAnsi="Arial" w:cs="Arial"/>
          <w:b/>
          <w:sz w:val="21"/>
          <w:szCs w:val="21"/>
          <w:lang w:eastAsia="it-IT"/>
        </w:rPr>
      </w:pPr>
      <w:r w:rsidRPr="00D80149">
        <w:rPr>
          <w:rFonts w:ascii="Arial" w:hAnsi="Arial" w:cs="Arial"/>
          <w:b/>
          <w:bCs/>
          <w:color w:val="365F91"/>
          <w:sz w:val="21"/>
          <w:szCs w:val="21"/>
        </w:rPr>
        <w:br w:type="page"/>
      </w:r>
      <w:r w:rsidRPr="00D80149">
        <w:rPr>
          <w:rFonts w:ascii="Arial" w:hAnsi="Arial" w:cs="Arial"/>
          <w:b/>
          <w:sz w:val="21"/>
          <w:szCs w:val="21"/>
          <w:lang w:eastAsia="it-IT"/>
        </w:rPr>
        <w:lastRenderedPageBreak/>
        <w:t>Sommario</w:t>
      </w:r>
    </w:p>
    <w:p w14:paraId="4AC34731" w14:textId="77777777" w:rsidR="00927AB0" w:rsidRPr="00D80149" w:rsidRDefault="00927AB0" w:rsidP="009B79FF">
      <w:pPr>
        <w:autoSpaceDE w:val="0"/>
        <w:autoSpaceDN w:val="0"/>
        <w:adjustRightInd w:val="0"/>
        <w:spacing w:before="120" w:after="0" w:line="360" w:lineRule="auto"/>
        <w:rPr>
          <w:rFonts w:ascii="Arial" w:hAnsi="Arial" w:cs="Arial"/>
          <w:b/>
          <w:sz w:val="21"/>
          <w:szCs w:val="21"/>
          <w:lang w:eastAsia="it-IT"/>
        </w:rPr>
      </w:pPr>
    </w:p>
    <w:p w14:paraId="6CC7B6B9" w14:textId="77777777" w:rsidR="005432C5" w:rsidRDefault="00927AB0">
      <w:pPr>
        <w:pStyle w:val="Sommario1"/>
        <w:rPr>
          <w:rFonts w:asciiTheme="minorHAnsi" w:eastAsiaTheme="minorEastAsia" w:hAnsiTheme="minorHAnsi" w:cstheme="minorBidi"/>
          <w:b w:val="0"/>
          <w:noProof/>
        </w:rPr>
      </w:pPr>
      <w:r w:rsidRPr="00D80149">
        <w:rPr>
          <w:rFonts w:ascii="Arial" w:hAnsi="Arial" w:cs="Arial"/>
          <w:bCs/>
          <w:i/>
          <w:sz w:val="21"/>
          <w:szCs w:val="21"/>
        </w:rPr>
        <w:fldChar w:fldCharType="begin"/>
      </w:r>
      <w:r w:rsidRPr="00D80149">
        <w:rPr>
          <w:rFonts w:ascii="Arial" w:hAnsi="Arial" w:cs="Arial"/>
          <w:bCs/>
          <w:i/>
          <w:sz w:val="21"/>
          <w:szCs w:val="21"/>
        </w:rPr>
        <w:instrText xml:space="preserve"> TOC \b bando \u  \* MERGEFORMAT </w:instrText>
      </w:r>
      <w:r w:rsidRPr="00D80149">
        <w:rPr>
          <w:rFonts w:ascii="Arial" w:hAnsi="Arial" w:cs="Arial"/>
          <w:bCs/>
          <w:i/>
          <w:sz w:val="21"/>
          <w:szCs w:val="21"/>
        </w:rPr>
        <w:fldChar w:fldCharType="separate"/>
      </w:r>
      <w:r w:rsidR="005432C5" w:rsidRPr="001821E6">
        <w:rPr>
          <w:rFonts w:ascii="Arial" w:hAnsi="Arial" w:cs="Arial"/>
          <w:noProof/>
          <w:color w:val="1F497D"/>
        </w:rPr>
        <w:t>1.</w:t>
      </w:r>
      <w:r w:rsidR="005432C5">
        <w:rPr>
          <w:rFonts w:asciiTheme="minorHAnsi" w:eastAsiaTheme="minorEastAsia" w:hAnsiTheme="minorHAnsi" w:cstheme="minorBidi"/>
          <w:b w:val="0"/>
          <w:noProof/>
        </w:rPr>
        <w:tab/>
      </w:r>
      <w:r w:rsidR="005432C5" w:rsidRPr="001821E6">
        <w:rPr>
          <w:rFonts w:ascii="Arial" w:hAnsi="Arial" w:cs="Arial"/>
          <w:noProof/>
          <w:color w:val="1F497D"/>
        </w:rPr>
        <w:t>OGGETTO DEL SERVIZIO</w:t>
      </w:r>
      <w:r w:rsidR="005432C5">
        <w:rPr>
          <w:noProof/>
        </w:rPr>
        <w:tab/>
      </w:r>
      <w:r w:rsidR="005432C5">
        <w:rPr>
          <w:noProof/>
        </w:rPr>
        <w:fldChar w:fldCharType="begin"/>
      </w:r>
      <w:r w:rsidR="005432C5">
        <w:rPr>
          <w:noProof/>
        </w:rPr>
        <w:instrText xml:space="preserve"> PAGEREF _Toc478649485 \h </w:instrText>
      </w:r>
      <w:r w:rsidR="005432C5">
        <w:rPr>
          <w:noProof/>
        </w:rPr>
      </w:r>
      <w:r w:rsidR="005432C5">
        <w:rPr>
          <w:noProof/>
        </w:rPr>
        <w:fldChar w:fldCharType="separate"/>
      </w:r>
      <w:r w:rsidR="005432C5">
        <w:rPr>
          <w:noProof/>
        </w:rPr>
        <w:t>2</w:t>
      </w:r>
      <w:r w:rsidR="005432C5">
        <w:rPr>
          <w:noProof/>
        </w:rPr>
        <w:fldChar w:fldCharType="end"/>
      </w:r>
    </w:p>
    <w:p w14:paraId="44B9D9CF"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2.</w:t>
      </w:r>
      <w:r>
        <w:rPr>
          <w:rFonts w:asciiTheme="minorHAnsi" w:eastAsiaTheme="minorEastAsia" w:hAnsiTheme="minorHAnsi" w:cstheme="minorBidi"/>
          <w:b w:val="0"/>
          <w:noProof/>
        </w:rPr>
        <w:tab/>
      </w:r>
      <w:r w:rsidRPr="001821E6">
        <w:rPr>
          <w:rFonts w:ascii="Arial" w:hAnsi="Arial" w:cs="Arial"/>
          <w:noProof/>
          <w:color w:val="1F497D"/>
        </w:rPr>
        <w:t>DURATA</w:t>
      </w:r>
      <w:r>
        <w:rPr>
          <w:noProof/>
        </w:rPr>
        <w:tab/>
      </w:r>
      <w:r>
        <w:rPr>
          <w:noProof/>
        </w:rPr>
        <w:fldChar w:fldCharType="begin"/>
      </w:r>
      <w:r>
        <w:rPr>
          <w:noProof/>
        </w:rPr>
        <w:instrText xml:space="preserve"> PAGEREF _Toc478649486 \h </w:instrText>
      </w:r>
      <w:r>
        <w:rPr>
          <w:noProof/>
        </w:rPr>
      </w:r>
      <w:r>
        <w:rPr>
          <w:noProof/>
        </w:rPr>
        <w:fldChar w:fldCharType="separate"/>
      </w:r>
      <w:r>
        <w:rPr>
          <w:noProof/>
        </w:rPr>
        <w:t>2</w:t>
      </w:r>
      <w:r>
        <w:rPr>
          <w:noProof/>
        </w:rPr>
        <w:fldChar w:fldCharType="end"/>
      </w:r>
    </w:p>
    <w:p w14:paraId="28E5A4C1"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3.</w:t>
      </w:r>
      <w:r>
        <w:rPr>
          <w:rFonts w:asciiTheme="minorHAnsi" w:eastAsiaTheme="minorEastAsia" w:hAnsiTheme="minorHAnsi" w:cstheme="minorBidi"/>
          <w:b w:val="0"/>
          <w:noProof/>
        </w:rPr>
        <w:tab/>
      </w:r>
      <w:r w:rsidRPr="001821E6">
        <w:rPr>
          <w:rFonts w:ascii="Arial" w:hAnsi="Arial" w:cs="Arial"/>
          <w:noProof/>
          <w:color w:val="1F497D"/>
        </w:rPr>
        <w:t>MACROAREE DI ATTIVITA’</w:t>
      </w:r>
      <w:r>
        <w:rPr>
          <w:noProof/>
        </w:rPr>
        <w:tab/>
      </w:r>
      <w:r>
        <w:rPr>
          <w:noProof/>
        </w:rPr>
        <w:fldChar w:fldCharType="begin"/>
      </w:r>
      <w:r>
        <w:rPr>
          <w:noProof/>
        </w:rPr>
        <w:instrText xml:space="preserve"> PAGEREF _Toc478649487 \h </w:instrText>
      </w:r>
      <w:r>
        <w:rPr>
          <w:noProof/>
        </w:rPr>
      </w:r>
      <w:r>
        <w:rPr>
          <w:noProof/>
        </w:rPr>
        <w:fldChar w:fldCharType="separate"/>
      </w:r>
      <w:r>
        <w:rPr>
          <w:noProof/>
        </w:rPr>
        <w:t>3</w:t>
      </w:r>
      <w:r>
        <w:rPr>
          <w:noProof/>
        </w:rPr>
        <w:fldChar w:fldCharType="end"/>
      </w:r>
    </w:p>
    <w:p w14:paraId="0CEE4FB1"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3.1.</w:t>
      </w:r>
      <w:r>
        <w:rPr>
          <w:rFonts w:asciiTheme="minorHAnsi" w:eastAsiaTheme="minorEastAsia" w:hAnsiTheme="minorHAnsi" w:cstheme="minorBidi"/>
          <w:b w:val="0"/>
          <w:noProof/>
        </w:rPr>
        <w:tab/>
      </w:r>
      <w:r w:rsidRPr="001821E6">
        <w:rPr>
          <w:rFonts w:ascii="Arial" w:hAnsi="Arial" w:cs="Arial"/>
          <w:noProof/>
          <w:color w:val="1F497D"/>
        </w:rPr>
        <w:t>MARKET RESEARCH</w:t>
      </w:r>
      <w:r>
        <w:rPr>
          <w:noProof/>
        </w:rPr>
        <w:tab/>
      </w:r>
      <w:r>
        <w:rPr>
          <w:noProof/>
        </w:rPr>
        <w:fldChar w:fldCharType="begin"/>
      </w:r>
      <w:r>
        <w:rPr>
          <w:noProof/>
        </w:rPr>
        <w:instrText xml:space="preserve"> PAGEREF _Toc478649488 \h </w:instrText>
      </w:r>
      <w:r>
        <w:rPr>
          <w:noProof/>
        </w:rPr>
      </w:r>
      <w:r>
        <w:rPr>
          <w:noProof/>
        </w:rPr>
        <w:fldChar w:fldCharType="separate"/>
      </w:r>
      <w:r>
        <w:rPr>
          <w:noProof/>
        </w:rPr>
        <w:t>3</w:t>
      </w:r>
      <w:r>
        <w:rPr>
          <w:noProof/>
        </w:rPr>
        <w:fldChar w:fldCharType="end"/>
      </w:r>
    </w:p>
    <w:p w14:paraId="2D73E908"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3.2.</w:t>
      </w:r>
      <w:r>
        <w:rPr>
          <w:rFonts w:asciiTheme="minorHAnsi" w:eastAsiaTheme="minorEastAsia" w:hAnsiTheme="minorHAnsi" w:cstheme="minorBidi"/>
          <w:b w:val="0"/>
          <w:noProof/>
        </w:rPr>
        <w:tab/>
      </w:r>
      <w:r w:rsidRPr="001821E6">
        <w:rPr>
          <w:rFonts w:ascii="Arial" w:hAnsi="Arial" w:cs="Arial"/>
          <w:noProof/>
          <w:color w:val="1F497D"/>
        </w:rPr>
        <w:t>DIGITAL</w:t>
      </w:r>
      <w:r>
        <w:rPr>
          <w:noProof/>
        </w:rPr>
        <w:tab/>
      </w:r>
      <w:r>
        <w:rPr>
          <w:noProof/>
        </w:rPr>
        <w:fldChar w:fldCharType="begin"/>
      </w:r>
      <w:r>
        <w:rPr>
          <w:noProof/>
        </w:rPr>
        <w:instrText xml:space="preserve"> PAGEREF _Toc478649489 \h </w:instrText>
      </w:r>
      <w:r>
        <w:rPr>
          <w:noProof/>
        </w:rPr>
      </w:r>
      <w:r>
        <w:rPr>
          <w:noProof/>
        </w:rPr>
        <w:fldChar w:fldCharType="separate"/>
      </w:r>
      <w:r>
        <w:rPr>
          <w:noProof/>
        </w:rPr>
        <w:t>4</w:t>
      </w:r>
      <w:r>
        <w:rPr>
          <w:noProof/>
        </w:rPr>
        <w:fldChar w:fldCharType="end"/>
      </w:r>
    </w:p>
    <w:p w14:paraId="52BFA66E"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3.3.</w:t>
      </w:r>
      <w:r>
        <w:rPr>
          <w:rFonts w:asciiTheme="minorHAnsi" w:eastAsiaTheme="minorEastAsia" w:hAnsiTheme="minorHAnsi" w:cstheme="minorBidi"/>
          <w:b w:val="0"/>
          <w:noProof/>
        </w:rPr>
        <w:tab/>
      </w:r>
      <w:r w:rsidRPr="001821E6">
        <w:rPr>
          <w:rFonts w:ascii="Arial" w:hAnsi="Arial" w:cs="Arial"/>
          <w:noProof/>
          <w:color w:val="1F497D"/>
        </w:rPr>
        <w:t>CONSULTING</w:t>
      </w:r>
      <w:r>
        <w:rPr>
          <w:noProof/>
        </w:rPr>
        <w:tab/>
      </w:r>
      <w:r>
        <w:rPr>
          <w:noProof/>
        </w:rPr>
        <w:fldChar w:fldCharType="begin"/>
      </w:r>
      <w:r>
        <w:rPr>
          <w:noProof/>
        </w:rPr>
        <w:instrText xml:space="preserve"> PAGEREF _Toc478649490 \h </w:instrText>
      </w:r>
      <w:r>
        <w:rPr>
          <w:noProof/>
        </w:rPr>
      </w:r>
      <w:r>
        <w:rPr>
          <w:noProof/>
        </w:rPr>
        <w:fldChar w:fldCharType="separate"/>
      </w:r>
      <w:r>
        <w:rPr>
          <w:noProof/>
        </w:rPr>
        <w:t>6</w:t>
      </w:r>
      <w:r>
        <w:rPr>
          <w:noProof/>
        </w:rPr>
        <w:fldChar w:fldCharType="end"/>
      </w:r>
    </w:p>
    <w:p w14:paraId="1D60B197"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rPr>
        <w:t>4.</w:t>
      </w:r>
      <w:r>
        <w:rPr>
          <w:rFonts w:asciiTheme="minorHAnsi" w:eastAsiaTheme="minorEastAsia" w:hAnsiTheme="minorHAnsi" w:cstheme="minorBidi"/>
          <w:b w:val="0"/>
          <w:noProof/>
        </w:rPr>
        <w:tab/>
      </w:r>
      <w:r w:rsidRPr="001821E6">
        <w:rPr>
          <w:rFonts w:ascii="Arial" w:hAnsi="Arial" w:cs="Arial"/>
          <w:noProof/>
          <w:color w:val="1F497D"/>
        </w:rPr>
        <w:t>TEAM DI SERVIZIO</w:t>
      </w:r>
      <w:r>
        <w:rPr>
          <w:noProof/>
        </w:rPr>
        <w:tab/>
      </w:r>
      <w:r>
        <w:rPr>
          <w:noProof/>
        </w:rPr>
        <w:fldChar w:fldCharType="begin"/>
      </w:r>
      <w:r>
        <w:rPr>
          <w:noProof/>
        </w:rPr>
        <w:instrText xml:space="preserve"> PAGEREF _Toc478649491 \h </w:instrText>
      </w:r>
      <w:r>
        <w:rPr>
          <w:noProof/>
        </w:rPr>
      </w:r>
      <w:r>
        <w:rPr>
          <w:noProof/>
        </w:rPr>
        <w:fldChar w:fldCharType="separate"/>
      </w:r>
      <w:r>
        <w:rPr>
          <w:noProof/>
        </w:rPr>
        <w:t>8</w:t>
      </w:r>
      <w:r>
        <w:rPr>
          <w:noProof/>
        </w:rPr>
        <w:fldChar w:fldCharType="end"/>
      </w:r>
    </w:p>
    <w:p w14:paraId="2189A95A"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5.</w:t>
      </w:r>
      <w:r>
        <w:rPr>
          <w:rFonts w:asciiTheme="minorHAnsi" w:eastAsiaTheme="minorEastAsia" w:hAnsiTheme="minorHAnsi" w:cstheme="minorBidi"/>
          <w:b w:val="0"/>
          <w:noProof/>
        </w:rPr>
        <w:tab/>
      </w:r>
      <w:r w:rsidRPr="001821E6">
        <w:rPr>
          <w:rFonts w:ascii="Arial" w:hAnsi="Arial" w:cs="Arial"/>
          <w:noProof/>
          <w:color w:val="1F497D"/>
        </w:rPr>
        <w:t>RESPONSABILE DEL PROCEDIMENTO PER LA FASE DI ESECUZIONE DEL CONTRATTO</w:t>
      </w:r>
      <w:r>
        <w:rPr>
          <w:noProof/>
        </w:rPr>
        <w:tab/>
      </w:r>
      <w:r>
        <w:rPr>
          <w:noProof/>
        </w:rPr>
        <w:fldChar w:fldCharType="begin"/>
      </w:r>
      <w:r>
        <w:rPr>
          <w:noProof/>
        </w:rPr>
        <w:instrText xml:space="preserve"> PAGEREF _Toc478649492 \h </w:instrText>
      </w:r>
      <w:r>
        <w:rPr>
          <w:noProof/>
        </w:rPr>
      </w:r>
      <w:r>
        <w:rPr>
          <w:noProof/>
        </w:rPr>
        <w:fldChar w:fldCharType="separate"/>
      </w:r>
      <w:r>
        <w:rPr>
          <w:noProof/>
        </w:rPr>
        <w:t>9</w:t>
      </w:r>
      <w:r>
        <w:rPr>
          <w:noProof/>
        </w:rPr>
        <w:fldChar w:fldCharType="end"/>
      </w:r>
    </w:p>
    <w:p w14:paraId="39329DB7"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6.</w:t>
      </w:r>
      <w:r>
        <w:rPr>
          <w:rFonts w:asciiTheme="minorHAnsi" w:eastAsiaTheme="minorEastAsia" w:hAnsiTheme="minorHAnsi" w:cstheme="minorBidi"/>
          <w:b w:val="0"/>
          <w:noProof/>
        </w:rPr>
        <w:tab/>
      </w:r>
      <w:r w:rsidRPr="001821E6">
        <w:rPr>
          <w:rFonts w:ascii="Arial" w:hAnsi="Arial" w:cs="Arial"/>
          <w:noProof/>
          <w:color w:val="1F497D"/>
        </w:rPr>
        <w:t>CORRISPETTIVO</w:t>
      </w:r>
      <w:r>
        <w:rPr>
          <w:noProof/>
        </w:rPr>
        <w:tab/>
      </w:r>
      <w:r>
        <w:rPr>
          <w:noProof/>
        </w:rPr>
        <w:fldChar w:fldCharType="begin"/>
      </w:r>
      <w:r>
        <w:rPr>
          <w:noProof/>
        </w:rPr>
        <w:instrText xml:space="preserve"> PAGEREF _Toc478649493 \h </w:instrText>
      </w:r>
      <w:r>
        <w:rPr>
          <w:noProof/>
        </w:rPr>
      </w:r>
      <w:r>
        <w:rPr>
          <w:noProof/>
        </w:rPr>
        <w:fldChar w:fldCharType="separate"/>
      </w:r>
      <w:r>
        <w:rPr>
          <w:noProof/>
        </w:rPr>
        <w:t>9</w:t>
      </w:r>
      <w:r>
        <w:rPr>
          <w:noProof/>
        </w:rPr>
        <w:fldChar w:fldCharType="end"/>
      </w:r>
    </w:p>
    <w:p w14:paraId="65D93BE9"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7.</w:t>
      </w:r>
      <w:r>
        <w:rPr>
          <w:rFonts w:asciiTheme="minorHAnsi" w:eastAsiaTheme="minorEastAsia" w:hAnsiTheme="minorHAnsi" w:cstheme="minorBidi"/>
          <w:b w:val="0"/>
          <w:noProof/>
        </w:rPr>
        <w:tab/>
      </w:r>
      <w:r w:rsidRPr="001821E6">
        <w:rPr>
          <w:rFonts w:ascii="Arial" w:hAnsi="Arial" w:cs="Arial"/>
          <w:noProof/>
          <w:color w:val="1F497D"/>
        </w:rPr>
        <w:t>SUBAPPALTO</w:t>
      </w:r>
      <w:r>
        <w:rPr>
          <w:noProof/>
        </w:rPr>
        <w:tab/>
      </w:r>
      <w:r>
        <w:rPr>
          <w:noProof/>
        </w:rPr>
        <w:fldChar w:fldCharType="begin"/>
      </w:r>
      <w:r>
        <w:rPr>
          <w:noProof/>
        </w:rPr>
        <w:instrText xml:space="preserve"> PAGEREF _Toc478649494 \h </w:instrText>
      </w:r>
      <w:r>
        <w:rPr>
          <w:noProof/>
        </w:rPr>
      </w:r>
      <w:r>
        <w:rPr>
          <w:noProof/>
        </w:rPr>
        <w:fldChar w:fldCharType="separate"/>
      </w:r>
      <w:r>
        <w:rPr>
          <w:noProof/>
        </w:rPr>
        <w:t>9</w:t>
      </w:r>
      <w:r>
        <w:rPr>
          <w:noProof/>
        </w:rPr>
        <w:fldChar w:fldCharType="end"/>
      </w:r>
    </w:p>
    <w:p w14:paraId="59DC4FF4"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8.</w:t>
      </w:r>
      <w:r>
        <w:rPr>
          <w:rFonts w:asciiTheme="minorHAnsi" w:eastAsiaTheme="minorEastAsia" w:hAnsiTheme="minorHAnsi" w:cstheme="minorBidi"/>
          <w:b w:val="0"/>
          <w:noProof/>
        </w:rPr>
        <w:tab/>
      </w:r>
      <w:r w:rsidRPr="001821E6">
        <w:rPr>
          <w:rFonts w:ascii="Arial" w:hAnsi="Arial" w:cs="Arial"/>
          <w:noProof/>
          <w:color w:val="1F497D"/>
        </w:rPr>
        <w:t>PENALI</w:t>
      </w:r>
      <w:r>
        <w:rPr>
          <w:noProof/>
        </w:rPr>
        <w:tab/>
      </w:r>
      <w:r>
        <w:rPr>
          <w:noProof/>
        </w:rPr>
        <w:fldChar w:fldCharType="begin"/>
      </w:r>
      <w:r>
        <w:rPr>
          <w:noProof/>
        </w:rPr>
        <w:instrText xml:space="preserve"> PAGEREF _Toc478649495 \h </w:instrText>
      </w:r>
      <w:r>
        <w:rPr>
          <w:noProof/>
        </w:rPr>
      </w:r>
      <w:r>
        <w:rPr>
          <w:noProof/>
        </w:rPr>
        <w:fldChar w:fldCharType="separate"/>
      </w:r>
      <w:r>
        <w:rPr>
          <w:noProof/>
        </w:rPr>
        <w:t>10</w:t>
      </w:r>
      <w:r>
        <w:rPr>
          <w:noProof/>
        </w:rPr>
        <w:fldChar w:fldCharType="end"/>
      </w:r>
    </w:p>
    <w:p w14:paraId="73F43C92"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9.</w:t>
      </w:r>
      <w:r>
        <w:rPr>
          <w:rFonts w:asciiTheme="minorHAnsi" w:eastAsiaTheme="minorEastAsia" w:hAnsiTheme="minorHAnsi" w:cstheme="minorBidi"/>
          <w:b w:val="0"/>
          <w:noProof/>
        </w:rPr>
        <w:tab/>
      </w:r>
      <w:r w:rsidRPr="001821E6">
        <w:rPr>
          <w:rFonts w:ascii="Arial" w:hAnsi="Arial" w:cs="Arial"/>
          <w:noProof/>
          <w:color w:val="1F497D"/>
        </w:rPr>
        <w:t>FATTURAZIONE E PAGAMENTI</w:t>
      </w:r>
      <w:r>
        <w:rPr>
          <w:noProof/>
        </w:rPr>
        <w:tab/>
      </w:r>
      <w:r>
        <w:rPr>
          <w:noProof/>
        </w:rPr>
        <w:fldChar w:fldCharType="begin"/>
      </w:r>
      <w:r>
        <w:rPr>
          <w:noProof/>
        </w:rPr>
        <w:instrText xml:space="preserve"> PAGEREF _Toc478649496 \h </w:instrText>
      </w:r>
      <w:r>
        <w:rPr>
          <w:noProof/>
        </w:rPr>
      </w:r>
      <w:r>
        <w:rPr>
          <w:noProof/>
        </w:rPr>
        <w:fldChar w:fldCharType="separate"/>
      </w:r>
      <w:r>
        <w:rPr>
          <w:noProof/>
        </w:rPr>
        <w:t>12</w:t>
      </w:r>
      <w:r>
        <w:rPr>
          <w:noProof/>
        </w:rPr>
        <w:fldChar w:fldCharType="end"/>
      </w:r>
    </w:p>
    <w:p w14:paraId="7BC4B3AF"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10.</w:t>
      </w:r>
      <w:r>
        <w:rPr>
          <w:rFonts w:asciiTheme="minorHAnsi" w:eastAsiaTheme="minorEastAsia" w:hAnsiTheme="minorHAnsi" w:cstheme="minorBidi"/>
          <w:b w:val="0"/>
          <w:noProof/>
        </w:rPr>
        <w:tab/>
      </w:r>
      <w:r w:rsidRPr="001821E6">
        <w:rPr>
          <w:rFonts w:ascii="Arial" w:hAnsi="Arial" w:cs="Arial"/>
          <w:noProof/>
          <w:color w:val="1F497D"/>
        </w:rPr>
        <w:t>ONERI ED OBBLIGHI DEL FORNITORE E DIRITTI DI CONI SERVIZI</w:t>
      </w:r>
      <w:r>
        <w:rPr>
          <w:noProof/>
        </w:rPr>
        <w:tab/>
      </w:r>
      <w:r>
        <w:rPr>
          <w:noProof/>
        </w:rPr>
        <w:fldChar w:fldCharType="begin"/>
      </w:r>
      <w:r>
        <w:rPr>
          <w:noProof/>
        </w:rPr>
        <w:instrText xml:space="preserve"> PAGEREF _Toc478649497 \h </w:instrText>
      </w:r>
      <w:r>
        <w:rPr>
          <w:noProof/>
        </w:rPr>
      </w:r>
      <w:r>
        <w:rPr>
          <w:noProof/>
        </w:rPr>
        <w:fldChar w:fldCharType="separate"/>
      </w:r>
      <w:r>
        <w:rPr>
          <w:noProof/>
        </w:rPr>
        <w:t>13</w:t>
      </w:r>
      <w:r>
        <w:rPr>
          <w:noProof/>
        </w:rPr>
        <w:fldChar w:fldCharType="end"/>
      </w:r>
    </w:p>
    <w:p w14:paraId="442E2A26"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11.</w:t>
      </w:r>
      <w:r>
        <w:rPr>
          <w:rFonts w:asciiTheme="minorHAnsi" w:eastAsiaTheme="minorEastAsia" w:hAnsiTheme="minorHAnsi" w:cstheme="minorBidi"/>
          <w:b w:val="0"/>
          <w:noProof/>
        </w:rPr>
        <w:tab/>
      </w:r>
      <w:r w:rsidRPr="001821E6">
        <w:rPr>
          <w:rFonts w:ascii="Arial" w:hAnsi="Arial" w:cs="Arial"/>
          <w:noProof/>
          <w:color w:val="1F497D"/>
        </w:rPr>
        <w:t>OBBLIGHI DI RISERVATEZZA</w:t>
      </w:r>
      <w:r>
        <w:rPr>
          <w:noProof/>
        </w:rPr>
        <w:tab/>
      </w:r>
      <w:r>
        <w:rPr>
          <w:noProof/>
        </w:rPr>
        <w:fldChar w:fldCharType="begin"/>
      </w:r>
      <w:r>
        <w:rPr>
          <w:noProof/>
        </w:rPr>
        <w:instrText xml:space="preserve"> PAGEREF _Toc478649498 \h </w:instrText>
      </w:r>
      <w:r>
        <w:rPr>
          <w:noProof/>
        </w:rPr>
      </w:r>
      <w:r>
        <w:rPr>
          <w:noProof/>
        </w:rPr>
        <w:fldChar w:fldCharType="separate"/>
      </w:r>
      <w:r>
        <w:rPr>
          <w:noProof/>
        </w:rPr>
        <w:t>14</w:t>
      </w:r>
      <w:r>
        <w:rPr>
          <w:noProof/>
        </w:rPr>
        <w:fldChar w:fldCharType="end"/>
      </w:r>
    </w:p>
    <w:p w14:paraId="3A13CB19"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12.</w:t>
      </w:r>
      <w:r>
        <w:rPr>
          <w:rFonts w:asciiTheme="minorHAnsi" w:eastAsiaTheme="minorEastAsia" w:hAnsiTheme="minorHAnsi" w:cstheme="minorBidi"/>
          <w:b w:val="0"/>
          <w:noProof/>
        </w:rPr>
        <w:tab/>
      </w:r>
      <w:r w:rsidRPr="001821E6">
        <w:rPr>
          <w:rFonts w:ascii="Arial" w:hAnsi="Arial" w:cs="Arial"/>
          <w:noProof/>
          <w:color w:val="1F497D"/>
        </w:rPr>
        <w:t>RECESSO E RISOLUZIONE DEL CONTRATTO</w:t>
      </w:r>
      <w:r>
        <w:rPr>
          <w:noProof/>
        </w:rPr>
        <w:tab/>
      </w:r>
      <w:r>
        <w:rPr>
          <w:noProof/>
        </w:rPr>
        <w:fldChar w:fldCharType="begin"/>
      </w:r>
      <w:r>
        <w:rPr>
          <w:noProof/>
        </w:rPr>
        <w:instrText xml:space="preserve"> PAGEREF _Toc478649499 \h </w:instrText>
      </w:r>
      <w:r>
        <w:rPr>
          <w:noProof/>
        </w:rPr>
      </w:r>
      <w:r>
        <w:rPr>
          <w:noProof/>
        </w:rPr>
        <w:fldChar w:fldCharType="separate"/>
      </w:r>
      <w:r>
        <w:rPr>
          <w:noProof/>
        </w:rPr>
        <w:t>15</w:t>
      </w:r>
      <w:r>
        <w:rPr>
          <w:noProof/>
        </w:rPr>
        <w:fldChar w:fldCharType="end"/>
      </w:r>
    </w:p>
    <w:p w14:paraId="24634903"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13.</w:t>
      </w:r>
      <w:r>
        <w:rPr>
          <w:rFonts w:asciiTheme="minorHAnsi" w:eastAsiaTheme="minorEastAsia" w:hAnsiTheme="minorHAnsi" w:cstheme="minorBidi"/>
          <w:b w:val="0"/>
          <w:noProof/>
        </w:rPr>
        <w:tab/>
      </w:r>
      <w:r w:rsidRPr="001821E6">
        <w:rPr>
          <w:rFonts w:ascii="Arial" w:hAnsi="Arial" w:cs="Arial"/>
          <w:noProof/>
          <w:color w:val="1F497D"/>
        </w:rPr>
        <w:t>DIVIETO DI CESSIONE DEL CONTRATTO</w:t>
      </w:r>
      <w:r>
        <w:rPr>
          <w:noProof/>
        </w:rPr>
        <w:tab/>
      </w:r>
      <w:r>
        <w:rPr>
          <w:noProof/>
        </w:rPr>
        <w:fldChar w:fldCharType="begin"/>
      </w:r>
      <w:r>
        <w:rPr>
          <w:noProof/>
        </w:rPr>
        <w:instrText xml:space="preserve"> PAGEREF _Toc478649500 \h </w:instrText>
      </w:r>
      <w:r>
        <w:rPr>
          <w:noProof/>
        </w:rPr>
      </w:r>
      <w:r>
        <w:rPr>
          <w:noProof/>
        </w:rPr>
        <w:fldChar w:fldCharType="separate"/>
      </w:r>
      <w:r>
        <w:rPr>
          <w:noProof/>
        </w:rPr>
        <w:t>16</w:t>
      </w:r>
      <w:r>
        <w:rPr>
          <w:noProof/>
        </w:rPr>
        <w:fldChar w:fldCharType="end"/>
      </w:r>
    </w:p>
    <w:p w14:paraId="0FF4C425"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14.</w:t>
      </w:r>
      <w:r>
        <w:rPr>
          <w:rFonts w:asciiTheme="minorHAnsi" w:eastAsiaTheme="minorEastAsia" w:hAnsiTheme="minorHAnsi" w:cstheme="minorBidi"/>
          <w:b w:val="0"/>
          <w:noProof/>
        </w:rPr>
        <w:tab/>
      </w:r>
      <w:r w:rsidRPr="001821E6">
        <w:rPr>
          <w:rFonts w:ascii="Arial" w:hAnsi="Arial" w:cs="Arial"/>
          <w:noProof/>
          <w:color w:val="1F497D"/>
        </w:rPr>
        <w:t>D.LGS. 50/2016 ETICO E MODELLO ORGANIZZATIVO</w:t>
      </w:r>
      <w:r>
        <w:rPr>
          <w:noProof/>
        </w:rPr>
        <w:tab/>
      </w:r>
      <w:r>
        <w:rPr>
          <w:noProof/>
        </w:rPr>
        <w:fldChar w:fldCharType="begin"/>
      </w:r>
      <w:r>
        <w:rPr>
          <w:noProof/>
        </w:rPr>
        <w:instrText xml:space="preserve"> PAGEREF _Toc478649501 \h </w:instrText>
      </w:r>
      <w:r>
        <w:rPr>
          <w:noProof/>
        </w:rPr>
      </w:r>
      <w:r>
        <w:rPr>
          <w:noProof/>
        </w:rPr>
        <w:fldChar w:fldCharType="separate"/>
      </w:r>
      <w:r>
        <w:rPr>
          <w:noProof/>
        </w:rPr>
        <w:t>16</w:t>
      </w:r>
      <w:r>
        <w:rPr>
          <w:noProof/>
        </w:rPr>
        <w:fldChar w:fldCharType="end"/>
      </w:r>
    </w:p>
    <w:p w14:paraId="3C1580EE"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15.</w:t>
      </w:r>
      <w:r>
        <w:rPr>
          <w:rFonts w:asciiTheme="minorHAnsi" w:eastAsiaTheme="minorEastAsia" w:hAnsiTheme="minorHAnsi" w:cstheme="minorBidi"/>
          <w:b w:val="0"/>
          <w:noProof/>
        </w:rPr>
        <w:tab/>
      </w:r>
      <w:r w:rsidRPr="001821E6">
        <w:rPr>
          <w:rFonts w:ascii="Arial" w:hAnsi="Arial" w:cs="Arial"/>
          <w:noProof/>
          <w:color w:val="1F497D"/>
        </w:rPr>
        <w:t>ONERI E TASSE</w:t>
      </w:r>
      <w:r>
        <w:rPr>
          <w:noProof/>
        </w:rPr>
        <w:tab/>
      </w:r>
      <w:r>
        <w:rPr>
          <w:noProof/>
        </w:rPr>
        <w:fldChar w:fldCharType="begin"/>
      </w:r>
      <w:r>
        <w:rPr>
          <w:noProof/>
        </w:rPr>
        <w:instrText xml:space="preserve"> PAGEREF _Toc478649502 \h </w:instrText>
      </w:r>
      <w:r>
        <w:rPr>
          <w:noProof/>
        </w:rPr>
      </w:r>
      <w:r>
        <w:rPr>
          <w:noProof/>
        </w:rPr>
        <w:fldChar w:fldCharType="separate"/>
      </w:r>
      <w:r>
        <w:rPr>
          <w:noProof/>
        </w:rPr>
        <w:t>17</w:t>
      </w:r>
      <w:r>
        <w:rPr>
          <w:noProof/>
        </w:rPr>
        <w:fldChar w:fldCharType="end"/>
      </w:r>
    </w:p>
    <w:p w14:paraId="1FFFFADC"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16.</w:t>
      </w:r>
      <w:r>
        <w:rPr>
          <w:rFonts w:asciiTheme="minorHAnsi" w:eastAsiaTheme="minorEastAsia" w:hAnsiTheme="minorHAnsi" w:cstheme="minorBidi"/>
          <w:b w:val="0"/>
          <w:noProof/>
        </w:rPr>
        <w:tab/>
      </w:r>
      <w:r w:rsidRPr="001821E6">
        <w:rPr>
          <w:rFonts w:ascii="Arial" w:hAnsi="Arial" w:cs="Arial"/>
          <w:noProof/>
          <w:color w:val="1F497D"/>
        </w:rPr>
        <w:t>DEFINIZIONE DELLE CONTROVERSIE E DOMICILIO DEL FORNITORE</w:t>
      </w:r>
      <w:r>
        <w:rPr>
          <w:noProof/>
        </w:rPr>
        <w:tab/>
      </w:r>
      <w:r>
        <w:rPr>
          <w:noProof/>
        </w:rPr>
        <w:fldChar w:fldCharType="begin"/>
      </w:r>
      <w:r>
        <w:rPr>
          <w:noProof/>
        </w:rPr>
        <w:instrText xml:space="preserve"> PAGEREF _Toc478649503 \h </w:instrText>
      </w:r>
      <w:r>
        <w:rPr>
          <w:noProof/>
        </w:rPr>
      </w:r>
      <w:r>
        <w:rPr>
          <w:noProof/>
        </w:rPr>
        <w:fldChar w:fldCharType="separate"/>
      </w:r>
      <w:r>
        <w:rPr>
          <w:noProof/>
        </w:rPr>
        <w:t>17</w:t>
      </w:r>
      <w:r>
        <w:rPr>
          <w:noProof/>
        </w:rPr>
        <w:fldChar w:fldCharType="end"/>
      </w:r>
    </w:p>
    <w:p w14:paraId="3A479FF1" w14:textId="77777777" w:rsidR="005432C5" w:rsidRDefault="005432C5">
      <w:pPr>
        <w:pStyle w:val="Sommario1"/>
        <w:rPr>
          <w:rFonts w:asciiTheme="minorHAnsi" w:eastAsiaTheme="minorEastAsia" w:hAnsiTheme="minorHAnsi" w:cstheme="minorBidi"/>
          <w:b w:val="0"/>
          <w:noProof/>
        </w:rPr>
      </w:pPr>
      <w:r w:rsidRPr="001821E6">
        <w:rPr>
          <w:rFonts w:ascii="Arial" w:hAnsi="Arial" w:cs="Arial"/>
          <w:noProof/>
          <w:color w:val="1F497D"/>
        </w:rPr>
        <w:t>17.</w:t>
      </w:r>
      <w:r>
        <w:rPr>
          <w:rFonts w:asciiTheme="minorHAnsi" w:eastAsiaTheme="minorEastAsia" w:hAnsiTheme="minorHAnsi" w:cstheme="minorBidi"/>
          <w:b w:val="0"/>
          <w:noProof/>
        </w:rPr>
        <w:tab/>
      </w:r>
      <w:r w:rsidRPr="001821E6">
        <w:rPr>
          <w:rFonts w:ascii="Arial" w:hAnsi="Arial" w:cs="Arial"/>
          <w:noProof/>
          <w:color w:val="1F497D"/>
        </w:rPr>
        <w:t>TUTELA DELLA PRIVACY E TRATTAMENTO DEI DATI PERSONALI</w:t>
      </w:r>
      <w:r>
        <w:rPr>
          <w:noProof/>
        </w:rPr>
        <w:tab/>
      </w:r>
      <w:r>
        <w:rPr>
          <w:noProof/>
        </w:rPr>
        <w:fldChar w:fldCharType="begin"/>
      </w:r>
      <w:r>
        <w:rPr>
          <w:noProof/>
        </w:rPr>
        <w:instrText xml:space="preserve"> PAGEREF _Toc478649504 \h </w:instrText>
      </w:r>
      <w:r>
        <w:rPr>
          <w:noProof/>
        </w:rPr>
      </w:r>
      <w:r>
        <w:rPr>
          <w:noProof/>
        </w:rPr>
        <w:fldChar w:fldCharType="separate"/>
      </w:r>
      <w:r>
        <w:rPr>
          <w:noProof/>
        </w:rPr>
        <w:t>17</w:t>
      </w:r>
      <w:r>
        <w:rPr>
          <w:noProof/>
        </w:rPr>
        <w:fldChar w:fldCharType="end"/>
      </w:r>
    </w:p>
    <w:p w14:paraId="6D8E8161" w14:textId="77777777" w:rsidR="00927AB0" w:rsidRDefault="00927AB0"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r w:rsidRPr="00D80149">
        <w:rPr>
          <w:rFonts w:ascii="Arial" w:hAnsi="Arial" w:cs="Arial"/>
          <w:bCs/>
          <w:i/>
          <w:sz w:val="21"/>
          <w:szCs w:val="21"/>
          <w:lang w:eastAsia="it-IT"/>
        </w:rPr>
        <w:fldChar w:fldCharType="end"/>
      </w:r>
    </w:p>
    <w:p w14:paraId="39905B43"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7209DF52"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7FC93FA7"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669BD50A"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0348C5B7"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19D5B23C"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3623567B" w14:textId="77777777" w:rsidR="005432C5" w:rsidRPr="00D80149"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color w:val="365F91"/>
          <w:sz w:val="21"/>
          <w:szCs w:val="21"/>
          <w:lang w:eastAsia="it-IT"/>
        </w:rPr>
      </w:pPr>
    </w:p>
    <w:p w14:paraId="0F06670B" w14:textId="77777777" w:rsidR="00927AB0" w:rsidRPr="00D80149" w:rsidRDefault="00927AB0" w:rsidP="009B79FF">
      <w:pPr>
        <w:spacing w:before="120" w:after="0" w:line="360" w:lineRule="auto"/>
        <w:ind w:left="360"/>
        <w:outlineLvl w:val="0"/>
        <w:rPr>
          <w:rFonts w:ascii="Arial" w:hAnsi="Arial" w:cs="Arial"/>
          <w:b/>
          <w:color w:val="1F497D"/>
          <w:sz w:val="21"/>
          <w:szCs w:val="21"/>
        </w:rPr>
      </w:pPr>
      <w:bookmarkStart w:id="1" w:name="bando"/>
    </w:p>
    <w:p w14:paraId="03ABCDC4" w14:textId="77777777" w:rsidR="009B79FF" w:rsidRDefault="009B79FF" w:rsidP="009B79FF">
      <w:pPr>
        <w:spacing w:before="120" w:after="0" w:line="360" w:lineRule="auto"/>
        <w:outlineLvl w:val="0"/>
        <w:rPr>
          <w:rFonts w:ascii="Arial" w:hAnsi="Arial" w:cs="Arial"/>
          <w:b/>
          <w:color w:val="1F497D"/>
          <w:sz w:val="21"/>
          <w:szCs w:val="21"/>
        </w:rPr>
      </w:pPr>
    </w:p>
    <w:p w14:paraId="71019797" w14:textId="77777777" w:rsidR="00927AB0"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2" w:name="_Toc478649485"/>
      <w:r>
        <w:rPr>
          <w:rFonts w:ascii="Arial" w:hAnsi="Arial" w:cs="Arial"/>
          <w:b/>
          <w:color w:val="1F497D"/>
          <w:sz w:val="21"/>
          <w:szCs w:val="21"/>
        </w:rPr>
        <w:lastRenderedPageBreak/>
        <w:t>OGGETTO DEL SERVIZIO</w:t>
      </w:r>
      <w:bookmarkEnd w:id="2"/>
    </w:p>
    <w:p w14:paraId="65216F51" w14:textId="7806068D" w:rsidR="00927AB0" w:rsidRPr="009B79FF" w:rsidRDefault="009B79FF" w:rsidP="009B79FF">
      <w:pPr>
        <w:spacing w:before="120" w:after="0" w:line="360" w:lineRule="auto"/>
        <w:rPr>
          <w:rFonts w:ascii="Arial" w:hAnsi="Arial" w:cs="Arial"/>
          <w:sz w:val="21"/>
          <w:szCs w:val="21"/>
        </w:rPr>
      </w:pPr>
      <w:r>
        <w:rPr>
          <w:rFonts w:ascii="Arial" w:hAnsi="Arial" w:cs="Arial"/>
          <w:sz w:val="21"/>
          <w:szCs w:val="21"/>
        </w:rPr>
        <w:t>Coni Servizi S.p.A. (d’ora in poi anche solo “Coni Servizi”)</w:t>
      </w:r>
      <w:r w:rsidR="00927AB0" w:rsidRPr="009B79FF">
        <w:rPr>
          <w:rFonts w:ascii="Arial" w:hAnsi="Arial" w:cs="Arial"/>
          <w:sz w:val="21"/>
          <w:szCs w:val="21"/>
        </w:rPr>
        <w:t xml:space="preserve"> è alla ricerca di un</w:t>
      </w:r>
      <w:r w:rsidR="0043047C">
        <w:rPr>
          <w:rFonts w:ascii="Arial" w:hAnsi="Arial" w:cs="Arial"/>
          <w:sz w:val="21"/>
          <w:szCs w:val="21"/>
        </w:rPr>
        <w:t>’</w:t>
      </w:r>
      <w:r w:rsidR="00927AB0" w:rsidRPr="009B79FF">
        <w:rPr>
          <w:rFonts w:ascii="Arial" w:hAnsi="Arial" w:cs="Arial"/>
          <w:sz w:val="21"/>
          <w:szCs w:val="21"/>
        </w:rPr>
        <w:t xml:space="preserve">azienda </w:t>
      </w:r>
      <w:r w:rsidR="00006592">
        <w:rPr>
          <w:rFonts w:ascii="Arial" w:hAnsi="Arial" w:cs="Arial"/>
          <w:sz w:val="21"/>
          <w:szCs w:val="21"/>
        </w:rPr>
        <w:t xml:space="preserve">specializzata </w:t>
      </w:r>
      <w:r w:rsidR="00927AB0" w:rsidRPr="009B79FF">
        <w:rPr>
          <w:rFonts w:ascii="Arial" w:hAnsi="Arial" w:cs="Arial"/>
          <w:sz w:val="21"/>
          <w:szCs w:val="21"/>
        </w:rPr>
        <w:t>cui affidare la produzione dei</w:t>
      </w:r>
      <w:r>
        <w:rPr>
          <w:rFonts w:ascii="Arial" w:hAnsi="Arial" w:cs="Arial"/>
          <w:sz w:val="21"/>
          <w:szCs w:val="21"/>
        </w:rPr>
        <w:t xml:space="preserve"> servizi di ricerche di mercato come meglio descritto nelle pagine successive.</w:t>
      </w:r>
    </w:p>
    <w:p w14:paraId="4EB8732E" w14:textId="77777777" w:rsidR="009B79FF"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3" w:name="_Toc478649486"/>
      <w:r>
        <w:rPr>
          <w:rFonts w:ascii="Arial" w:hAnsi="Arial" w:cs="Arial"/>
          <w:b/>
          <w:color w:val="1F497D"/>
          <w:sz w:val="21"/>
          <w:szCs w:val="21"/>
        </w:rPr>
        <w:t>DURATA</w:t>
      </w:r>
      <w:bookmarkEnd w:id="3"/>
    </w:p>
    <w:p w14:paraId="1527961D" w14:textId="1A364DC7" w:rsidR="00927AB0" w:rsidRDefault="00927AB0" w:rsidP="009B79FF">
      <w:pPr>
        <w:spacing w:before="120" w:after="0" w:line="360" w:lineRule="auto"/>
        <w:rPr>
          <w:rFonts w:ascii="Arial" w:hAnsi="Arial" w:cs="Arial"/>
          <w:sz w:val="21"/>
          <w:szCs w:val="21"/>
        </w:rPr>
      </w:pPr>
      <w:r w:rsidRPr="009B79FF">
        <w:rPr>
          <w:rFonts w:ascii="Arial" w:hAnsi="Arial" w:cs="Arial"/>
          <w:sz w:val="21"/>
          <w:szCs w:val="21"/>
        </w:rPr>
        <w:t>La collaborazione sarà in vigore nel biennio 2017-2018, oltre le prossime Olimpiadi di Pyeongchang</w:t>
      </w:r>
      <w:r w:rsidR="00006592">
        <w:rPr>
          <w:rFonts w:ascii="Arial" w:hAnsi="Arial" w:cs="Arial"/>
          <w:sz w:val="21"/>
          <w:szCs w:val="21"/>
        </w:rPr>
        <w:t xml:space="preserve">, </w:t>
      </w:r>
      <w:r w:rsidR="003B0B60">
        <w:rPr>
          <w:rFonts w:ascii="Arial" w:hAnsi="Arial" w:cs="Arial"/>
          <w:sz w:val="21"/>
          <w:szCs w:val="21"/>
        </w:rPr>
        <w:t>per un periodo complessivo di 21</w:t>
      </w:r>
      <w:r w:rsidR="00006592">
        <w:rPr>
          <w:rFonts w:ascii="Arial" w:hAnsi="Arial" w:cs="Arial"/>
          <w:sz w:val="21"/>
          <w:szCs w:val="21"/>
        </w:rPr>
        <w:t xml:space="preserve"> mesi</w:t>
      </w:r>
      <w:r w:rsidRPr="009B79FF">
        <w:rPr>
          <w:rFonts w:ascii="Arial" w:hAnsi="Arial" w:cs="Arial"/>
          <w:sz w:val="21"/>
          <w:szCs w:val="21"/>
        </w:rPr>
        <w:t>.</w:t>
      </w:r>
    </w:p>
    <w:p w14:paraId="464A14A7" w14:textId="67B5F26F" w:rsidR="00E725F2" w:rsidRPr="00D80149" w:rsidRDefault="00E725F2"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Si segnala la necessità di completare le attività richieste entro </w:t>
      </w:r>
      <w:r>
        <w:rPr>
          <w:rFonts w:ascii="Arial" w:hAnsi="Arial" w:cs="Arial"/>
          <w:bCs/>
          <w:iCs/>
          <w:sz w:val="21"/>
          <w:szCs w:val="21"/>
          <w:lang w:eastAsia="it-IT"/>
        </w:rPr>
        <w:t xml:space="preserve">le cadenze segnalate al successivo paragrafo 3, specifiche per ogni macro area, </w:t>
      </w:r>
      <w:r w:rsidRPr="00D80149">
        <w:rPr>
          <w:rFonts w:ascii="Arial" w:hAnsi="Arial" w:cs="Arial"/>
          <w:bCs/>
          <w:iCs/>
          <w:sz w:val="21"/>
          <w:szCs w:val="21"/>
          <w:lang w:eastAsia="it-IT"/>
        </w:rPr>
        <w:t>al fine di rispettare le esigenze d</w:t>
      </w:r>
      <w:r w:rsidR="00E40CDC">
        <w:rPr>
          <w:rFonts w:ascii="Arial" w:hAnsi="Arial" w:cs="Arial"/>
          <w:bCs/>
          <w:iCs/>
          <w:sz w:val="21"/>
          <w:szCs w:val="21"/>
          <w:lang w:eastAsia="it-IT"/>
        </w:rPr>
        <w:t>el</w:t>
      </w:r>
      <w:r w:rsidRPr="00D80149">
        <w:rPr>
          <w:rFonts w:ascii="Arial" w:hAnsi="Arial" w:cs="Arial"/>
          <w:bCs/>
          <w:iCs/>
          <w:sz w:val="21"/>
          <w:szCs w:val="21"/>
          <w:lang w:eastAsia="it-IT"/>
        </w:rPr>
        <w:t xml:space="preserve"> Coni in termini di pianificazione strategica e finanziaria de</w:t>
      </w:r>
      <w:r>
        <w:rPr>
          <w:rFonts w:ascii="Arial" w:hAnsi="Arial" w:cs="Arial"/>
          <w:bCs/>
          <w:iCs/>
          <w:sz w:val="21"/>
          <w:szCs w:val="21"/>
          <w:lang w:eastAsia="it-IT"/>
        </w:rPr>
        <w:t>gli</w:t>
      </w:r>
      <w:r w:rsidRPr="00D80149">
        <w:rPr>
          <w:rFonts w:ascii="Arial" w:hAnsi="Arial" w:cs="Arial"/>
          <w:bCs/>
          <w:iCs/>
          <w:sz w:val="21"/>
          <w:szCs w:val="21"/>
          <w:lang w:eastAsia="it-IT"/>
        </w:rPr>
        <w:t xml:space="preserve"> investimenti. </w:t>
      </w:r>
    </w:p>
    <w:p w14:paraId="2AB68751" w14:textId="77777777" w:rsidR="009B79FF"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4" w:name="_Toc478649487"/>
      <w:r>
        <w:rPr>
          <w:rFonts w:ascii="Arial" w:hAnsi="Arial" w:cs="Arial"/>
          <w:b/>
          <w:color w:val="1F497D"/>
          <w:sz w:val="21"/>
          <w:szCs w:val="21"/>
        </w:rPr>
        <w:t>MACROAREE DI ATTIVITA’</w:t>
      </w:r>
      <w:bookmarkEnd w:id="4"/>
    </w:p>
    <w:p w14:paraId="3771EB6B" w14:textId="77777777" w:rsidR="00927AB0" w:rsidRPr="009B79FF" w:rsidRDefault="00927AB0" w:rsidP="009B79FF">
      <w:pPr>
        <w:spacing w:before="120" w:after="0" w:line="360" w:lineRule="auto"/>
        <w:rPr>
          <w:rFonts w:ascii="Arial" w:hAnsi="Arial" w:cs="Arial"/>
          <w:sz w:val="21"/>
          <w:szCs w:val="21"/>
        </w:rPr>
      </w:pPr>
      <w:r w:rsidRPr="009B79FF">
        <w:rPr>
          <w:rFonts w:ascii="Arial" w:hAnsi="Arial" w:cs="Arial"/>
          <w:sz w:val="21"/>
          <w:szCs w:val="21"/>
        </w:rPr>
        <w:t>Le macro aree in cui si inseriscono i s</w:t>
      </w:r>
      <w:r w:rsidR="009B79FF">
        <w:rPr>
          <w:rFonts w:ascii="Arial" w:hAnsi="Arial" w:cs="Arial"/>
          <w:sz w:val="21"/>
          <w:szCs w:val="21"/>
        </w:rPr>
        <w:t xml:space="preserve">ervizi di supporto richieste da Coni Servizi </w:t>
      </w:r>
      <w:r w:rsidRPr="009B79FF">
        <w:rPr>
          <w:rFonts w:ascii="Arial" w:hAnsi="Arial" w:cs="Arial"/>
          <w:sz w:val="21"/>
          <w:szCs w:val="21"/>
        </w:rPr>
        <w:t>sono tre:</w:t>
      </w:r>
    </w:p>
    <w:p w14:paraId="28613C2B" w14:textId="77777777" w:rsidR="00B76292"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MARKET RESEARCH</w:t>
      </w:r>
    </w:p>
    <w:p w14:paraId="354DFE5C" w14:textId="77777777" w:rsidR="00927AB0"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DIGITAL</w:t>
      </w:r>
    </w:p>
    <w:p w14:paraId="0C23E6DE" w14:textId="77777777" w:rsidR="00927AB0"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CONSULTING</w:t>
      </w:r>
    </w:p>
    <w:p w14:paraId="585C8526" w14:textId="77777777" w:rsidR="00927AB0" w:rsidRPr="009B79FF" w:rsidRDefault="009B79FF" w:rsidP="009B79FF">
      <w:pPr>
        <w:pStyle w:val="Paragrafoelenco"/>
        <w:numPr>
          <w:ilvl w:val="1"/>
          <w:numId w:val="1"/>
        </w:numPr>
        <w:spacing w:before="120" w:after="0" w:line="360" w:lineRule="auto"/>
        <w:outlineLvl w:val="0"/>
        <w:rPr>
          <w:rFonts w:ascii="Arial" w:hAnsi="Arial" w:cs="Arial"/>
          <w:b/>
          <w:color w:val="1F497D"/>
          <w:sz w:val="21"/>
          <w:szCs w:val="21"/>
        </w:rPr>
      </w:pPr>
      <w:bookmarkStart w:id="5" w:name="_Toc475722629"/>
      <w:bookmarkStart w:id="6" w:name="_Toc475722762"/>
      <w:bookmarkStart w:id="7" w:name="_Toc475723377"/>
      <w:bookmarkStart w:id="8" w:name="_Toc478649488"/>
      <w:bookmarkEnd w:id="5"/>
      <w:bookmarkEnd w:id="6"/>
      <w:bookmarkEnd w:id="7"/>
      <w:r>
        <w:rPr>
          <w:rFonts w:ascii="Arial" w:hAnsi="Arial" w:cs="Arial"/>
          <w:b/>
          <w:color w:val="1F497D"/>
          <w:sz w:val="21"/>
          <w:szCs w:val="21"/>
        </w:rPr>
        <w:t>MARKET RESEARCH</w:t>
      </w:r>
      <w:bookmarkEnd w:id="8"/>
    </w:p>
    <w:p w14:paraId="706CECFA" w14:textId="7F29F0BF" w:rsidR="009B79FF" w:rsidRDefault="009B79FF" w:rsidP="009B79FF">
      <w:pPr>
        <w:spacing w:before="120" w:after="0" w:line="360" w:lineRule="auto"/>
        <w:rPr>
          <w:rFonts w:ascii="Arial" w:hAnsi="Arial" w:cs="Arial"/>
          <w:sz w:val="21"/>
          <w:szCs w:val="21"/>
        </w:rPr>
      </w:pPr>
      <w:r>
        <w:rPr>
          <w:rFonts w:ascii="Arial" w:hAnsi="Arial" w:cs="Arial"/>
          <w:sz w:val="21"/>
          <w:szCs w:val="21"/>
        </w:rPr>
        <w:t xml:space="preserve">Sono previste due attività </w:t>
      </w:r>
      <w:r w:rsidR="00917A69">
        <w:rPr>
          <w:rFonts w:ascii="Arial" w:hAnsi="Arial" w:cs="Arial"/>
          <w:sz w:val="21"/>
          <w:szCs w:val="21"/>
        </w:rPr>
        <w:t xml:space="preserve">di ricerca </w:t>
      </w:r>
      <w:r>
        <w:rPr>
          <w:rFonts w:ascii="Arial" w:hAnsi="Arial" w:cs="Arial"/>
          <w:sz w:val="21"/>
          <w:szCs w:val="21"/>
        </w:rPr>
        <w:t>all’interno di questa area:</w:t>
      </w:r>
    </w:p>
    <w:p w14:paraId="1DCC1B6C" w14:textId="2E186D5D" w:rsidR="009B79FF" w:rsidRPr="00394DC0" w:rsidRDefault="009B79FF" w:rsidP="009B79FF">
      <w:pPr>
        <w:pStyle w:val="Paragrafoelenco"/>
        <w:numPr>
          <w:ilvl w:val="0"/>
          <w:numId w:val="38"/>
        </w:numPr>
        <w:spacing w:before="120" w:after="0" w:line="360" w:lineRule="auto"/>
        <w:rPr>
          <w:rFonts w:ascii="Arial" w:hAnsi="Arial" w:cs="Arial"/>
          <w:b/>
          <w:sz w:val="21"/>
          <w:szCs w:val="21"/>
        </w:rPr>
      </w:pPr>
      <w:r w:rsidRPr="00394DC0">
        <w:rPr>
          <w:rFonts w:ascii="Arial" w:hAnsi="Arial" w:cs="Arial"/>
          <w:b/>
          <w:sz w:val="21"/>
          <w:szCs w:val="21"/>
        </w:rPr>
        <w:t>Ricerca Continuativa di scenario sullo sport in generale (release trimestrale) su un campione nazionale rappresentativo della popolazione italiana</w:t>
      </w:r>
      <w:r w:rsidR="009C28E6" w:rsidRPr="00394DC0">
        <w:rPr>
          <w:rFonts w:ascii="Arial" w:hAnsi="Arial" w:cs="Arial"/>
          <w:b/>
          <w:sz w:val="21"/>
          <w:szCs w:val="21"/>
        </w:rPr>
        <w:t>.</w:t>
      </w:r>
    </w:p>
    <w:p w14:paraId="00CB94F7" w14:textId="4A2284A9" w:rsidR="00394DC0" w:rsidRDefault="00394DC0" w:rsidP="00394DC0">
      <w:pPr>
        <w:pStyle w:val="Paragrafoelenco"/>
        <w:spacing w:before="120" w:after="0" w:line="360" w:lineRule="auto"/>
        <w:rPr>
          <w:rFonts w:ascii="Arial" w:hAnsi="Arial" w:cs="Arial"/>
          <w:sz w:val="21"/>
          <w:szCs w:val="21"/>
        </w:rPr>
      </w:pPr>
      <w:r>
        <w:rPr>
          <w:rFonts w:ascii="Arial" w:hAnsi="Arial" w:cs="Arial"/>
          <w:sz w:val="21"/>
          <w:szCs w:val="21"/>
        </w:rPr>
        <w:t>L’attività consiste nell’elaborazione di un’</w:t>
      </w:r>
      <w:r w:rsidR="00E40CDC">
        <w:rPr>
          <w:rFonts w:ascii="Arial" w:hAnsi="Arial" w:cs="Arial"/>
          <w:sz w:val="21"/>
          <w:szCs w:val="21"/>
        </w:rPr>
        <w:t>a</w:t>
      </w:r>
      <w:r w:rsidRPr="009B79FF">
        <w:rPr>
          <w:rFonts w:ascii="Arial" w:hAnsi="Arial" w:cs="Arial"/>
          <w:sz w:val="21"/>
          <w:szCs w:val="21"/>
        </w:rPr>
        <w:t>nalisi di scenario per dimensionare il seguito potenziale di selezionati sport declinando le caratteristiche socio-demografiche di ciascuna fan base</w:t>
      </w:r>
      <w:r>
        <w:rPr>
          <w:rFonts w:ascii="Arial" w:hAnsi="Arial" w:cs="Arial"/>
          <w:sz w:val="21"/>
          <w:szCs w:val="21"/>
        </w:rPr>
        <w:t>.</w:t>
      </w:r>
    </w:p>
    <w:p w14:paraId="46F03055" w14:textId="76142FF0" w:rsidR="00394DC0" w:rsidRDefault="00394DC0" w:rsidP="00394DC0">
      <w:pPr>
        <w:pStyle w:val="Paragrafoelenco"/>
        <w:spacing w:before="120" w:after="0" w:line="360" w:lineRule="auto"/>
        <w:rPr>
          <w:rFonts w:ascii="Arial" w:hAnsi="Arial" w:cs="Arial"/>
          <w:sz w:val="21"/>
          <w:szCs w:val="21"/>
        </w:rPr>
      </w:pPr>
      <w:r w:rsidRPr="009B79FF">
        <w:rPr>
          <w:rFonts w:ascii="Arial" w:hAnsi="Arial" w:cs="Arial"/>
          <w:sz w:val="21"/>
          <w:szCs w:val="21"/>
        </w:rPr>
        <w:t>Lo studio potrà essere pianificato su base trimestrale/bimestrale/mensile a sec</w:t>
      </w:r>
      <w:r>
        <w:rPr>
          <w:rFonts w:ascii="Arial" w:hAnsi="Arial" w:cs="Arial"/>
          <w:sz w:val="21"/>
          <w:szCs w:val="21"/>
        </w:rPr>
        <w:t>onda delle esigenze espresse da Coni Servizi</w:t>
      </w:r>
      <w:r w:rsidRPr="009B79FF">
        <w:rPr>
          <w:rFonts w:ascii="Arial" w:hAnsi="Arial" w:cs="Arial"/>
          <w:sz w:val="21"/>
          <w:szCs w:val="21"/>
        </w:rPr>
        <w:t>.</w:t>
      </w:r>
    </w:p>
    <w:p w14:paraId="0266968D" w14:textId="782E1F66" w:rsidR="00A26B1B" w:rsidRPr="00A26B1B" w:rsidRDefault="00A26B1B" w:rsidP="00A26B1B">
      <w:pPr>
        <w:pStyle w:val="Paragrafoelenco"/>
        <w:spacing w:before="120" w:after="0" w:line="360" w:lineRule="auto"/>
        <w:rPr>
          <w:rFonts w:ascii="Arial" w:hAnsi="Arial" w:cs="Arial"/>
          <w:sz w:val="21"/>
          <w:szCs w:val="21"/>
        </w:rPr>
      </w:pPr>
      <w:r w:rsidRPr="00A26B1B">
        <w:rPr>
          <w:rFonts w:ascii="Arial" w:hAnsi="Arial" w:cs="Arial"/>
          <w:sz w:val="21"/>
          <w:szCs w:val="21"/>
        </w:rPr>
        <w:t xml:space="preserve">La ricerca </w:t>
      </w:r>
      <w:r>
        <w:rPr>
          <w:rFonts w:ascii="Arial" w:hAnsi="Arial" w:cs="Arial"/>
          <w:sz w:val="21"/>
          <w:szCs w:val="21"/>
        </w:rPr>
        <w:t>dovrà fornire</w:t>
      </w:r>
      <w:r w:rsidRPr="00A26B1B">
        <w:rPr>
          <w:rFonts w:ascii="Arial" w:hAnsi="Arial" w:cs="Arial"/>
          <w:sz w:val="21"/>
          <w:szCs w:val="21"/>
        </w:rPr>
        <w:t xml:space="preserve"> informazioni riguardo:</w:t>
      </w:r>
    </w:p>
    <w:p w14:paraId="34AA50AD" w14:textId="71AD1B75"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Livello di interesse per gli sport</w:t>
      </w:r>
      <w:r w:rsidR="00917A69">
        <w:rPr>
          <w:rFonts w:ascii="Arial" w:hAnsi="Arial" w:cs="Arial"/>
          <w:sz w:val="21"/>
          <w:szCs w:val="21"/>
        </w:rPr>
        <w:t>;</w:t>
      </w:r>
    </w:p>
    <w:p w14:paraId="04E5D232" w14:textId="190345F3"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Profilo sociodemografico degli interessati a ciascuno sport</w:t>
      </w:r>
      <w:r w:rsidR="00917A69">
        <w:rPr>
          <w:rFonts w:ascii="Arial" w:hAnsi="Arial" w:cs="Arial"/>
          <w:sz w:val="21"/>
          <w:szCs w:val="21"/>
        </w:rPr>
        <w:t>;</w:t>
      </w:r>
    </w:p>
    <w:p w14:paraId="7FBD8E5E" w14:textId="2D9F4B3A"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Interesse nello sport vs. altre attività ricreative</w:t>
      </w:r>
      <w:r w:rsidR="00917A69">
        <w:rPr>
          <w:rFonts w:ascii="Arial" w:hAnsi="Arial" w:cs="Arial"/>
          <w:sz w:val="21"/>
          <w:szCs w:val="21"/>
        </w:rPr>
        <w:t>;</w:t>
      </w:r>
      <w:r w:rsidRPr="00A26B1B">
        <w:rPr>
          <w:rFonts w:ascii="Arial" w:hAnsi="Arial" w:cs="Arial"/>
          <w:sz w:val="21"/>
          <w:szCs w:val="21"/>
        </w:rPr>
        <w:t xml:space="preserve"> </w:t>
      </w:r>
    </w:p>
    <w:p w14:paraId="260BB3EC" w14:textId="5315C2A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Sport più popolari in TV (notorietà spontanea)</w:t>
      </w:r>
      <w:r w:rsidR="00917A69">
        <w:rPr>
          <w:rFonts w:ascii="Arial" w:hAnsi="Arial" w:cs="Arial"/>
          <w:sz w:val="21"/>
          <w:szCs w:val="21"/>
        </w:rPr>
        <w:t>;</w:t>
      </w:r>
    </w:p>
    <w:p w14:paraId="2A021D4F" w14:textId="04D8EDDD"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lastRenderedPageBreak/>
        <w:t>Potenziale ed immagine di sport selezionati</w:t>
      </w:r>
      <w:r w:rsidR="00917A69">
        <w:rPr>
          <w:rFonts w:ascii="Arial" w:hAnsi="Arial" w:cs="Arial"/>
          <w:sz w:val="21"/>
          <w:szCs w:val="21"/>
        </w:rPr>
        <w:t>;</w:t>
      </w:r>
    </w:p>
    <w:p w14:paraId="2E2B187F" w14:textId="1129FA6D"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Notorietà e interesse verso determinati eventi sportivi</w:t>
      </w:r>
      <w:r w:rsidR="00917A69">
        <w:rPr>
          <w:rFonts w:ascii="Arial" w:hAnsi="Arial" w:cs="Arial"/>
          <w:sz w:val="21"/>
          <w:szCs w:val="21"/>
        </w:rPr>
        <w:t>;</w:t>
      </w:r>
    </w:p>
    <w:p w14:paraId="46578DD6" w14:textId="3F6DA3CA"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Notorietà e interesse verso determinati club/team</w:t>
      </w:r>
      <w:r w:rsidR="00917A69">
        <w:rPr>
          <w:rFonts w:ascii="Arial" w:hAnsi="Arial" w:cs="Arial"/>
          <w:sz w:val="21"/>
          <w:szCs w:val="21"/>
        </w:rPr>
        <w:t>;</w:t>
      </w:r>
    </w:p>
    <w:p w14:paraId="27E93272" w14:textId="6C31410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Notorietà Italia Team (andamento)</w:t>
      </w:r>
      <w:r w:rsidR="00917A69">
        <w:rPr>
          <w:rFonts w:ascii="Arial" w:hAnsi="Arial" w:cs="Arial"/>
          <w:sz w:val="21"/>
          <w:szCs w:val="21"/>
        </w:rPr>
        <w:t>;</w:t>
      </w:r>
    </w:p>
    <w:p w14:paraId="384101E0" w14:textId="38981EFB" w:rsidR="00A26B1B" w:rsidRPr="00A26B1B" w:rsidRDefault="00A26B1B" w:rsidP="00A26B1B">
      <w:pPr>
        <w:pStyle w:val="Paragrafoelenco"/>
        <w:numPr>
          <w:ilvl w:val="0"/>
          <w:numId w:val="39"/>
        </w:numPr>
        <w:spacing w:before="120" w:after="0" w:line="360" w:lineRule="auto"/>
        <w:rPr>
          <w:rFonts w:ascii="Arial" w:hAnsi="Arial" w:cs="Arial"/>
          <w:sz w:val="21"/>
          <w:szCs w:val="21"/>
        </w:rPr>
      </w:pPr>
      <w:r>
        <w:rPr>
          <w:rFonts w:ascii="Arial" w:hAnsi="Arial" w:cs="Arial"/>
          <w:sz w:val="21"/>
          <w:szCs w:val="21"/>
        </w:rPr>
        <w:t>Utilizzo di media</w:t>
      </w:r>
      <w:r w:rsidRPr="00A26B1B">
        <w:rPr>
          <w:rFonts w:ascii="Arial" w:hAnsi="Arial" w:cs="Arial"/>
          <w:sz w:val="21"/>
          <w:szCs w:val="21"/>
        </w:rPr>
        <w:t>, profilo di utenza cross-media (analisi sugli interessati al singolo sport)</w:t>
      </w:r>
      <w:r w:rsidR="00917A69">
        <w:rPr>
          <w:rFonts w:ascii="Arial" w:hAnsi="Arial" w:cs="Arial"/>
          <w:sz w:val="21"/>
          <w:szCs w:val="21"/>
        </w:rPr>
        <w:t>;</w:t>
      </w:r>
    </w:p>
    <w:p w14:paraId="30F1CCA3" w14:textId="3EE945A5"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Abitudini di ‘second screen’</w:t>
      </w:r>
      <w:r w:rsidR="00917A69">
        <w:rPr>
          <w:rFonts w:ascii="Arial" w:hAnsi="Arial" w:cs="Arial"/>
          <w:sz w:val="21"/>
          <w:szCs w:val="21"/>
        </w:rPr>
        <w:t>;</w:t>
      </w:r>
    </w:p>
    <w:p w14:paraId="47445006" w14:textId="1621A93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Categorie merceologiche ed utilizzo/preferenze (analisi sug</w:t>
      </w:r>
      <w:r>
        <w:rPr>
          <w:rFonts w:ascii="Arial" w:hAnsi="Arial" w:cs="Arial"/>
          <w:sz w:val="21"/>
          <w:szCs w:val="21"/>
        </w:rPr>
        <w:t>li interessati al singolo sport</w:t>
      </w:r>
      <w:r w:rsidRPr="00A26B1B">
        <w:rPr>
          <w:rFonts w:ascii="Arial" w:hAnsi="Arial" w:cs="Arial"/>
          <w:sz w:val="21"/>
          <w:szCs w:val="21"/>
        </w:rPr>
        <w:t>)</w:t>
      </w:r>
      <w:r w:rsidR="00917A69">
        <w:rPr>
          <w:rFonts w:ascii="Arial" w:hAnsi="Arial" w:cs="Arial"/>
          <w:sz w:val="21"/>
          <w:szCs w:val="21"/>
        </w:rPr>
        <w:t>;</w:t>
      </w:r>
    </w:p>
    <w:p w14:paraId="22BEC29C" w14:textId="2464F6B3"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Attitudine/accettazione sponsorizzazioni</w:t>
      </w:r>
      <w:r w:rsidR="00917A69">
        <w:rPr>
          <w:rFonts w:ascii="Arial" w:hAnsi="Arial" w:cs="Arial"/>
          <w:sz w:val="21"/>
          <w:szCs w:val="21"/>
        </w:rPr>
        <w:t>;</w:t>
      </w:r>
    </w:p>
    <w:p w14:paraId="3151A071" w14:textId="5058FD74" w:rsidR="00394DC0"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Composizione demografica</w:t>
      </w:r>
      <w:r w:rsidR="00917A69">
        <w:rPr>
          <w:rFonts w:ascii="Arial" w:hAnsi="Arial" w:cs="Arial"/>
          <w:sz w:val="21"/>
          <w:szCs w:val="21"/>
        </w:rPr>
        <w:t>.</w:t>
      </w:r>
    </w:p>
    <w:p w14:paraId="153945A3" w14:textId="23E90B41" w:rsidR="00A26B1B" w:rsidRDefault="00A26B1B" w:rsidP="00A26B1B">
      <w:pPr>
        <w:pStyle w:val="Paragrafoelenco"/>
        <w:spacing w:before="120" w:after="0" w:line="360" w:lineRule="auto"/>
        <w:rPr>
          <w:rFonts w:ascii="Arial" w:hAnsi="Arial" w:cs="Arial"/>
          <w:sz w:val="21"/>
          <w:szCs w:val="21"/>
        </w:rPr>
      </w:pPr>
      <w:r>
        <w:rPr>
          <w:rFonts w:ascii="Arial" w:hAnsi="Arial" w:cs="Arial"/>
          <w:sz w:val="21"/>
          <w:szCs w:val="21"/>
        </w:rPr>
        <w:t xml:space="preserve">Coni potrà richiedere </w:t>
      </w:r>
      <w:r w:rsidRPr="00A26B1B">
        <w:rPr>
          <w:rFonts w:ascii="Arial" w:hAnsi="Arial" w:cs="Arial"/>
          <w:sz w:val="21"/>
          <w:szCs w:val="21"/>
        </w:rPr>
        <w:t>di inseri</w:t>
      </w:r>
      <w:r>
        <w:rPr>
          <w:rFonts w:ascii="Arial" w:hAnsi="Arial" w:cs="Arial"/>
          <w:sz w:val="21"/>
          <w:szCs w:val="21"/>
        </w:rPr>
        <w:t>re</w:t>
      </w:r>
      <w:r w:rsidRPr="00A26B1B">
        <w:rPr>
          <w:rFonts w:ascii="Arial" w:hAnsi="Arial" w:cs="Arial"/>
          <w:sz w:val="21"/>
          <w:szCs w:val="21"/>
        </w:rPr>
        <w:t xml:space="preserve"> una sezione ad hoc di approfondimento su tematiche specifiche indicate da </w:t>
      </w:r>
      <w:r>
        <w:rPr>
          <w:rFonts w:ascii="Arial" w:hAnsi="Arial" w:cs="Arial"/>
          <w:sz w:val="21"/>
          <w:szCs w:val="21"/>
        </w:rPr>
        <w:t xml:space="preserve">essa indicate </w:t>
      </w:r>
      <w:r w:rsidRPr="00A26B1B">
        <w:rPr>
          <w:rFonts w:ascii="Arial" w:hAnsi="Arial" w:cs="Arial"/>
          <w:sz w:val="21"/>
          <w:szCs w:val="21"/>
        </w:rPr>
        <w:t>(es. Notorietà e interesse Italia Team o su singoli atleti, profilo immagine del Coni, di uno sport o di un singolo atleta, interesse per un determinato evento/in</w:t>
      </w:r>
      <w:r>
        <w:rPr>
          <w:rFonts w:ascii="Arial" w:hAnsi="Arial" w:cs="Arial"/>
          <w:sz w:val="21"/>
          <w:szCs w:val="21"/>
        </w:rPr>
        <w:t>iziativa, ec</w:t>
      </w:r>
      <w:r w:rsidRPr="00A26B1B">
        <w:rPr>
          <w:rFonts w:ascii="Arial" w:hAnsi="Arial" w:cs="Arial"/>
          <w:sz w:val="21"/>
          <w:szCs w:val="21"/>
        </w:rPr>
        <w:t>c.)</w:t>
      </w:r>
      <w:r>
        <w:rPr>
          <w:rFonts w:ascii="Arial" w:hAnsi="Arial" w:cs="Arial"/>
          <w:sz w:val="21"/>
          <w:szCs w:val="21"/>
        </w:rPr>
        <w:t>.</w:t>
      </w:r>
    </w:p>
    <w:p w14:paraId="31BD2413" w14:textId="38826387" w:rsidR="00A26B1B" w:rsidRDefault="00A26B1B" w:rsidP="00A26B1B">
      <w:pPr>
        <w:pStyle w:val="Paragrafoelenco"/>
        <w:spacing w:before="120" w:after="0" w:line="360" w:lineRule="auto"/>
        <w:rPr>
          <w:rFonts w:ascii="Arial" w:hAnsi="Arial" w:cs="Arial"/>
          <w:sz w:val="21"/>
          <w:szCs w:val="21"/>
        </w:rPr>
      </w:pPr>
      <w:r>
        <w:rPr>
          <w:rFonts w:ascii="Arial" w:hAnsi="Arial" w:cs="Arial"/>
          <w:sz w:val="21"/>
          <w:szCs w:val="21"/>
        </w:rPr>
        <w:t>La Ricerca dovrà essere rilasciata ogni trimestre.</w:t>
      </w:r>
    </w:p>
    <w:p w14:paraId="38CFF029" w14:textId="1DAC7F0B" w:rsidR="00A26B1B" w:rsidRDefault="00A26B1B" w:rsidP="00A26B1B">
      <w:pPr>
        <w:pStyle w:val="Paragrafoelenco"/>
        <w:numPr>
          <w:ilvl w:val="0"/>
          <w:numId w:val="38"/>
        </w:numPr>
        <w:spacing w:before="120" w:after="0" w:line="360" w:lineRule="auto"/>
        <w:rPr>
          <w:rFonts w:ascii="Arial" w:hAnsi="Arial" w:cs="Arial"/>
          <w:sz w:val="21"/>
          <w:szCs w:val="21"/>
        </w:rPr>
      </w:pPr>
      <w:r w:rsidRPr="009B79FF">
        <w:rPr>
          <w:rFonts w:ascii="Arial" w:hAnsi="Arial" w:cs="Arial"/>
          <w:b/>
          <w:bCs/>
          <w:sz w:val="21"/>
          <w:szCs w:val="21"/>
        </w:rPr>
        <w:t>Ricerca per supportare il Coni nella strategia commerciale e nella ricerca sponsor</w:t>
      </w:r>
    </w:p>
    <w:p w14:paraId="37F9DE99" w14:textId="3E7F7E85" w:rsidR="00917A69" w:rsidRP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L’Attività consiste nello </w:t>
      </w:r>
      <w:r w:rsidRPr="00917A69">
        <w:rPr>
          <w:rFonts w:ascii="Arial" w:hAnsi="Arial" w:cs="Arial"/>
          <w:sz w:val="21"/>
          <w:szCs w:val="21"/>
        </w:rPr>
        <w:t>Studio su un campione rappresentativo della popolazione italiana in grado di supportare le strategie di sponsorizzazione su due livelli:</w:t>
      </w:r>
    </w:p>
    <w:p w14:paraId="07DD542D" w14:textId="59E7568C" w:rsidR="00917A69" w:rsidRPr="00C24324" w:rsidRDefault="00917A69" w:rsidP="00917A69">
      <w:pPr>
        <w:pStyle w:val="Paragrafoelenco"/>
        <w:numPr>
          <w:ilvl w:val="0"/>
          <w:numId w:val="40"/>
        </w:numPr>
        <w:spacing w:before="120" w:after="0" w:line="360" w:lineRule="auto"/>
        <w:rPr>
          <w:rFonts w:ascii="Arial" w:hAnsi="Arial" w:cs="Arial"/>
          <w:bCs/>
          <w:sz w:val="21"/>
          <w:szCs w:val="21"/>
        </w:rPr>
      </w:pPr>
      <w:r w:rsidRPr="00C24324">
        <w:rPr>
          <w:rFonts w:ascii="Arial" w:hAnsi="Arial" w:cs="Arial"/>
          <w:b/>
          <w:bCs/>
          <w:sz w:val="21"/>
          <w:szCs w:val="21"/>
        </w:rPr>
        <w:t>Supportare le decisioni strategiche</w:t>
      </w:r>
      <w:r>
        <w:rPr>
          <w:rFonts w:ascii="Arial" w:hAnsi="Arial" w:cs="Arial"/>
          <w:b/>
          <w:bCs/>
          <w:sz w:val="21"/>
          <w:szCs w:val="21"/>
        </w:rPr>
        <w:t xml:space="preserve"> relative alle sponsorizzazioni </w:t>
      </w:r>
      <w:r w:rsidRPr="00C24324">
        <w:rPr>
          <w:rFonts w:ascii="Arial" w:hAnsi="Arial" w:cs="Arial"/>
          <w:bCs/>
          <w:sz w:val="21"/>
          <w:szCs w:val="21"/>
        </w:rPr>
        <w:t>evidenziando l’affinità merceologiche e i comportamenti di consumo dei fan di un determinato sport</w:t>
      </w:r>
      <w:r>
        <w:rPr>
          <w:rFonts w:ascii="Arial" w:hAnsi="Arial" w:cs="Arial"/>
          <w:bCs/>
          <w:sz w:val="21"/>
          <w:szCs w:val="21"/>
        </w:rPr>
        <w:t>;</w:t>
      </w:r>
    </w:p>
    <w:p w14:paraId="1C3D2944" w14:textId="0880878F" w:rsidR="00A26B1B" w:rsidRDefault="00917A69" w:rsidP="00917A69">
      <w:pPr>
        <w:pStyle w:val="Paragrafoelenco"/>
        <w:numPr>
          <w:ilvl w:val="0"/>
          <w:numId w:val="40"/>
        </w:numPr>
        <w:spacing w:before="120" w:after="0" w:line="360" w:lineRule="auto"/>
        <w:rPr>
          <w:rFonts w:ascii="Arial" w:hAnsi="Arial" w:cs="Arial"/>
          <w:sz w:val="21"/>
          <w:szCs w:val="21"/>
        </w:rPr>
      </w:pPr>
      <w:r w:rsidRPr="00C24324">
        <w:rPr>
          <w:rFonts w:ascii="Arial" w:hAnsi="Arial" w:cs="Arial"/>
          <w:b/>
          <w:bCs/>
          <w:sz w:val="21"/>
          <w:szCs w:val="21"/>
        </w:rPr>
        <w:t>Monitorare</w:t>
      </w:r>
      <w:r>
        <w:rPr>
          <w:rFonts w:ascii="Arial" w:hAnsi="Arial" w:cs="Arial"/>
          <w:b/>
          <w:bCs/>
          <w:sz w:val="21"/>
          <w:szCs w:val="21"/>
        </w:rPr>
        <w:t xml:space="preserve"> l’efficacia delle sponsorship </w:t>
      </w:r>
      <w:r w:rsidRPr="00C24324">
        <w:rPr>
          <w:rFonts w:ascii="Arial" w:hAnsi="Arial" w:cs="Arial"/>
          <w:bCs/>
          <w:sz w:val="21"/>
          <w:szCs w:val="21"/>
        </w:rPr>
        <w:t>misurando i cambiamenti nelle abitudini di acquisto/consumo dei tifosi a seguito di un’attività di sponsorizzazione</w:t>
      </w:r>
      <w:r>
        <w:rPr>
          <w:rFonts w:ascii="Arial" w:hAnsi="Arial" w:cs="Arial"/>
          <w:bCs/>
          <w:sz w:val="21"/>
          <w:szCs w:val="21"/>
        </w:rPr>
        <w:t>.</w:t>
      </w:r>
    </w:p>
    <w:p w14:paraId="19E7BCF3" w14:textId="43BC2B14" w:rsid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La Ricerca dovrà essere rilasciata </w:t>
      </w:r>
      <w:r w:rsidR="003B0B60">
        <w:rPr>
          <w:rFonts w:ascii="Arial" w:hAnsi="Arial" w:cs="Arial"/>
          <w:sz w:val="21"/>
          <w:szCs w:val="21"/>
        </w:rPr>
        <w:t xml:space="preserve">alla fine di </w:t>
      </w:r>
      <w:r>
        <w:rPr>
          <w:rFonts w:ascii="Arial" w:hAnsi="Arial" w:cs="Arial"/>
          <w:sz w:val="21"/>
          <w:szCs w:val="21"/>
        </w:rPr>
        <w:t>ogni anno</w:t>
      </w:r>
      <w:r w:rsidR="003B0B60">
        <w:rPr>
          <w:rFonts w:ascii="Arial" w:hAnsi="Arial" w:cs="Arial"/>
          <w:sz w:val="21"/>
          <w:szCs w:val="21"/>
        </w:rPr>
        <w:t xml:space="preserve"> solare in cui la società sarà sotto contratto (Dicembre 2017 / Dicembre 2018)</w:t>
      </w:r>
      <w:r>
        <w:rPr>
          <w:rFonts w:ascii="Arial" w:hAnsi="Arial" w:cs="Arial"/>
          <w:sz w:val="21"/>
          <w:szCs w:val="21"/>
        </w:rPr>
        <w:t>.</w:t>
      </w:r>
    </w:p>
    <w:p w14:paraId="125F5900" w14:textId="0D8637F7" w:rsidR="00917A69" w:rsidRDefault="00917A69" w:rsidP="00917A69">
      <w:pPr>
        <w:pStyle w:val="Paragrafoelenco"/>
        <w:numPr>
          <w:ilvl w:val="1"/>
          <w:numId w:val="1"/>
        </w:numPr>
        <w:spacing w:before="120" w:after="0" w:line="360" w:lineRule="auto"/>
        <w:outlineLvl w:val="0"/>
        <w:rPr>
          <w:rFonts w:ascii="Arial" w:hAnsi="Arial" w:cs="Arial"/>
          <w:b/>
          <w:color w:val="1F497D"/>
          <w:sz w:val="21"/>
          <w:szCs w:val="21"/>
        </w:rPr>
      </w:pPr>
      <w:bookmarkStart w:id="9" w:name="_Toc478649489"/>
      <w:r>
        <w:rPr>
          <w:rFonts w:ascii="Arial" w:hAnsi="Arial" w:cs="Arial"/>
          <w:b/>
          <w:color w:val="1F497D"/>
          <w:sz w:val="21"/>
          <w:szCs w:val="21"/>
        </w:rPr>
        <w:t>DIGITAL</w:t>
      </w:r>
      <w:bookmarkEnd w:id="9"/>
    </w:p>
    <w:p w14:paraId="677BBA33" w14:textId="0705CDA5" w:rsidR="00917A69" w:rsidRDefault="00917A69" w:rsidP="00917A69">
      <w:pPr>
        <w:spacing w:before="120" w:after="0" w:line="360" w:lineRule="auto"/>
        <w:rPr>
          <w:rFonts w:ascii="Arial" w:hAnsi="Arial" w:cs="Arial"/>
          <w:sz w:val="21"/>
          <w:szCs w:val="21"/>
        </w:rPr>
      </w:pPr>
      <w:r w:rsidRPr="00917A69">
        <w:rPr>
          <w:rFonts w:ascii="Arial" w:hAnsi="Arial" w:cs="Arial"/>
          <w:sz w:val="21"/>
          <w:szCs w:val="21"/>
        </w:rPr>
        <w:t xml:space="preserve">Sono previste </w:t>
      </w:r>
      <w:r>
        <w:rPr>
          <w:rFonts w:ascii="Arial" w:hAnsi="Arial" w:cs="Arial"/>
          <w:sz w:val="21"/>
          <w:szCs w:val="21"/>
        </w:rPr>
        <w:t>tre</w:t>
      </w:r>
      <w:r w:rsidRPr="00917A69">
        <w:rPr>
          <w:rFonts w:ascii="Arial" w:hAnsi="Arial" w:cs="Arial"/>
          <w:sz w:val="21"/>
          <w:szCs w:val="21"/>
        </w:rPr>
        <w:t xml:space="preserve"> attività </w:t>
      </w:r>
      <w:r>
        <w:rPr>
          <w:rFonts w:ascii="Arial" w:hAnsi="Arial" w:cs="Arial"/>
          <w:sz w:val="21"/>
          <w:szCs w:val="21"/>
        </w:rPr>
        <w:t xml:space="preserve">di ricerca </w:t>
      </w:r>
      <w:r w:rsidRPr="00917A69">
        <w:rPr>
          <w:rFonts w:ascii="Arial" w:hAnsi="Arial" w:cs="Arial"/>
          <w:sz w:val="21"/>
          <w:szCs w:val="21"/>
        </w:rPr>
        <w:t>all’interno di questa area:</w:t>
      </w:r>
    </w:p>
    <w:p w14:paraId="04AEF482" w14:textId="1FCF3955" w:rsidR="00917A69" w:rsidRPr="00917A69" w:rsidRDefault="00917A69" w:rsidP="00917A69">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Digital Valuation</w:t>
      </w:r>
    </w:p>
    <w:p w14:paraId="389FE7E5" w14:textId="24CD6A8B" w:rsid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lastRenderedPageBreak/>
        <w:t>Con l’obiettivo di v</w:t>
      </w:r>
      <w:r w:rsidRPr="00917A69">
        <w:rPr>
          <w:rFonts w:ascii="Arial" w:hAnsi="Arial" w:cs="Arial"/>
          <w:sz w:val="21"/>
          <w:szCs w:val="21"/>
        </w:rPr>
        <w:t>alorizza</w:t>
      </w:r>
      <w:r>
        <w:rPr>
          <w:rFonts w:ascii="Arial" w:hAnsi="Arial" w:cs="Arial"/>
          <w:sz w:val="21"/>
          <w:szCs w:val="21"/>
        </w:rPr>
        <w:t>r</w:t>
      </w:r>
      <w:r w:rsidRPr="00917A69">
        <w:rPr>
          <w:rFonts w:ascii="Arial" w:hAnsi="Arial" w:cs="Arial"/>
          <w:sz w:val="21"/>
          <w:szCs w:val="21"/>
        </w:rPr>
        <w:t xml:space="preserve">e </w:t>
      </w:r>
      <w:r>
        <w:rPr>
          <w:rFonts w:ascii="Arial" w:hAnsi="Arial" w:cs="Arial"/>
          <w:sz w:val="21"/>
          <w:szCs w:val="21"/>
        </w:rPr>
        <w:t>gli asset digital del CONI</w:t>
      </w:r>
      <w:r w:rsidR="003B0B60">
        <w:rPr>
          <w:rFonts w:ascii="Arial" w:hAnsi="Arial" w:cs="Arial"/>
          <w:sz w:val="21"/>
          <w:szCs w:val="21"/>
        </w:rPr>
        <w:t>,</w:t>
      </w:r>
      <w:r>
        <w:rPr>
          <w:rFonts w:ascii="Arial" w:hAnsi="Arial" w:cs="Arial"/>
          <w:sz w:val="21"/>
          <w:szCs w:val="21"/>
        </w:rPr>
        <w:t xml:space="preserve"> il Fornitore dovrà effettuare un’attività di</w:t>
      </w:r>
      <w:r w:rsidRPr="00917A69">
        <w:rPr>
          <w:rFonts w:ascii="Arial" w:hAnsi="Arial" w:cs="Arial"/>
          <w:sz w:val="21"/>
          <w:szCs w:val="21"/>
        </w:rPr>
        <w:t xml:space="preserve"> Monitoraggio e analisi del valore generato per i partner del CONI sulle piattaforme digital proprietarie e per ogni tipologia di contenuto (foto, video, link, status). </w:t>
      </w:r>
    </w:p>
    <w:p w14:paraId="711DB533" w14:textId="585F1A6E" w:rsidR="00917A69" w:rsidRPr="00917A69" w:rsidRDefault="00917A69" w:rsidP="00917A69">
      <w:pPr>
        <w:pStyle w:val="Paragrafoelenco"/>
        <w:spacing w:before="120" w:after="0" w:line="360" w:lineRule="auto"/>
        <w:rPr>
          <w:rFonts w:ascii="Arial" w:hAnsi="Arial" w:cs="Arial"/>
          <w:sz w:val="21"/>
          <w:szCs w:val="21"/>
        </w:rPr>
      </w:pPr>
      <w:r w:rsidRPr="00917A69">
        <w:rPr>
          <w:rFonts w:ascii="Arial" w:hAnsi="Arial" w:cs="Arial"/>
          <w:sz w:val="21"/>
          <w:szCs w:val="21"/>
        </w:rPr>
        <w:t>La valorizzazione sarà relativa sia all’esposizione e alla visibilità dei marchi partner (exposure valuation) sia alle interazioni ed engagement generato dai post realizzati sinergicamente con questi ultimi (engagement valuation).</w:t>
      </w:r>
    </w:p>
    <w:p w14:paraId="6C7E2810" w14:textId="665790AD" w:rsidR="00917A69" w:rsidRP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I </w:t>
      </w:r>
      <w:r w:rsidRPr="00917A69">
        <w:rPr>
          <w:rFonts w:ascii="Arial" w:hAnsi="Arial" w:cs="Arial"/>
          <w:sz w:val="21"/>
          <w:szCs w:val="21"/>
        </w:rPr>
        <w:t>Canali monitorati</w:t>
      </w:r>
      <w:r>
        <w:rPr>
          <w:rFonts w:ascii="Arial" w:hAnsi="Arial" w:cs="Arial"/>
          <w:sz w:val="21"/>
          <w:szCs w:val="21"/>
        </w:rPr>
        <w:t xml:space="preserve"> dovranno essere</w:t>
      </w:r>
      <w:r w:rsidRPr="00917A69">
        <w:rPr>
          <w:rFonts w:ascii="Arial" w:hAnsi="Arial" w:cs="Arial"/>
          <w:sz w:val="21"/>
          <w:szCs w:val="21"/>
        </w:rPr>
        <w:t>:</w:t>
      </w:r>
    </w:p>
    <w:p w14:paraId="3ED3DD15" w14:textId="0E5D5D6E"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Sito web</w:t>
      </w:r>
      <w:r w:rsidR="0043047C">
        <w:rPr>
          <w:rFonts w:ascii="Arial" w:hAnsi="Arial" w:cs="Arial"/>
          <w:sz w:val="21"/>
          <w:szCs w:val="21"/>
        </w:rPr>
        <w:t xml:space="preserve"> (sia CONI che Italia Team)</w:t>
      </w:r>
    </w:p>
    <w:p w14:paraId="60D53E6D" w14:textId="7A7665F9"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Social media (Facebook, Instagram, YouTube, Twitter</w:t>
      </w:r>
      <w:r w:rsidR="0043047C">
        <w:rPr>
          <w:rFonts w:ascii="Arial" w:hAnsi="Arial" w:cs="Arial"/>
          <w:sz w:val="21"/>
          <w:szCs w:val="21"/>
        </w:rPr>
        <w:t>, sia CONI che Italia Team</w:t>
      </w:r>
      <w:r w:rsidRPr="00917A69">
        <w:rPr>
          <w:rFonts w:ascii="Arial" w:hAnsi="Arial" w:cs="Arial"/>
          <w:sz w:val="21"/>
          <w:szCs w:val="21"/>
        </w:rPr>
        <w:t>)</w:t>
      </w:r>
    </w:p>
    <w:p w14:paraId="728D3456" w14:textId="6FC8C698"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Campagne pubblicitarie e di attivazione del CONI e dei propri partner</w:t>
      </w:r>
    </w:p>
    <w:p w14:paraId="5A3B6854" w14:textId="77777777" w:rsidR="00917A69" w:rsidRPr="00917A69" w:rsidRDefault="00917A69" w:rsidP="00917A69">
      <w:pPr>
        <w:pStyle w:val="Paragrafoelenco"/>
        <w:spacing w:before="120" w:after="0" w:line="360" w:lineRule="auto"/>
        <w:rPr>
          <w:rFonts w:ascii="Arial" w:hAnsi="Arial" w:cs="Arial"/>
          <w:sz w:val="21"/>
          <w:szCs w:val="21"/>
        </w:rPr>
      </w:pPr>
      <w:r w:rsidRPr="00917A69">
        <w:rPr>
          <w:rFonts w:ascii="Arial" w:hAnsi="Arial" w:cs="Arial"/>
          <w:sz w:val="21"/>
          <w:szCs w:val="21"/>
        </w:rPr>
        <w:t xml:space="preserve">Per il Digital Valuation sono richiesti report trimestrali. </w:t>
      </w:r>
    </w:p>
    <w:p w14:paraId="2E1DB17E" w14:textId="662DD8A8" w:rsidR="00917A69" w:rsidRPr="000A5433" w:rsidRDefault="000A5433" w:rsidP="000A5433">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Affinity &amp; Community Analysis – contenuti, linguaggi e format</w:t>
      </w:r>
    </w:p>
    <w:p w14:paraId="7164DD68" w14:textId="10B5559C" w:rsidR="00A26B1B" w:rsidRDefault="000A5433" w:rsidP="00A26B1B">
      <w:pPr>
        <w:pStyle w:val="Paragrafoelenco"/>
        <w:spacing w:before="120" w:after="0" w:line="360" w:lineRule="auto"/>
        <w:rPr>
          <w:rFonts w:ascii="Arial" w:hAnsi="Arial" w:cs="Arial"/>
          <w:bCs/>
          <w:sz w:val="21"/>
          <w:szCs w:val="21"/>
        </w:rPr>
      </w:pPr>
      <w:r>
        <w:rPr>
          <w:rFonts w:ascii="Arial" w:hAnsi="Arial" w:cs="Arial"/>
          <w:sz w:val="21"/>
          <w:szCs w:val="21"/>
        </w:rPr>
        <w:t>L’obiettivo della ricerca consiste nella i</w:t>
      </w:r>
      <w:r w:rsidRPr="00C24324">
        <w:rPr>
          <w:rFonts w:ascii="Arial" w:hAnsi="Arial" w:cs="Arial"/>
          <w:bCs/>
          <w:sz w:val="21"/>
          <w:szCs w:val="21"/>
        </w:rPr>
        <w:t>ndividuazione dei topic di discussione maggiormente popolari e condivisi dagli utenti.</w:t>
      </w:r>
    </w:p>
    <w:p w14:paraId="764C1F23" w14:textId="77777777" w:rsidR="002918F1" w:rsidRPr="002918F1" w:rsidRDefault="002918F1" w:rsidP="002918F1">
      <w:pPr>
        <w:pStyle w:val="Paragrafoelenco"/>
        <w:spacing w:before="120" w:after="0" w:line="360" w:lineRule="auto"/>
        <w:rPr>
          <w:rFonts w:ascii="Arial" w:hAnsi="Arial" w:cs="Arial"/>
          <w:sz w:val="21"/>
          <w:szCs w:val="21"/>
        </w:rPr>
      </w:pPr>
      <w:r w:rsidRPr="002918F1">
        <w:rPr>
          <w:rFonts w:ascii="Arial" w:hAnsi="Arial" w:cs="Arial"/>
          <w:sz w:val="21"/>
          <w:szCs w:val="21"/>
        </w:rPr>
        <w:t>L’obiettivo dell’analisi sarà individuare le tipologie di contenuto, le storie, la modalità e il timing migliori per supportare la content strategy del CONI.</w:t>
      </w:r>
    </w:p>
    <w:p w14:paraId="61536B70" w14:textId="18F0A766" w:rsidR="002918F1" w:rsidRP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Analisi del tema “sport” (al netto del calcio), identificazione degli sport più seguiti e analisi qualitativa del contenuto delle conversazioni degli utenti</w:t>
      </w:r>
      <w:r>
        <w:rPr>
          <w:rFonts w:ascii="Arial" w:hAnsi="Arial" w:cs="Arial"/>
          <w:sz w:val="21"/>
          <w:szCs w:val="21"/>
        </w:rPr>
        <w:t>;</w:t>
      </w:r>
    </w:p>
    <w:p w14:paraId="584D8CEA" w14:textId="6352C281" w:rsidR="002918F1" w:rsidRP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Segmentazione fanbase (con focus particolare su fascia under 24), identificazione degli argomenti chiave di cui parlare per intercettare i diversi cluster all’interno della community</w:t>
      </w:r>
      <w:r>
        <w:rPr>
          <w:rFonts w:ascii="Arial" w:hAnsi="Arial" w:cs="Arial"/>
          <w:sz w:val="21"/>
          <w:szCs w:val="21"/>
        </w:rPr>
        <w:t>;</w:t>
      </w:r>
    </w:p>
    <w:p w14:paraId="5EB20D5D" w14:textId="63B24B14" w:rsid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Studio delle community che seguono e\o parlano di determinati atleti dell’Italia Team</w:t>
      </w:r>
      <w:r w:rsidR="006D0926">
        <w:rPr>
          <w:rFonts w:ascii="Arial" w:hAnsi="Arial" w:cs="Arial"/>
          <w:sz w:val="21"/>
          <w:szCs w:val="21"/>
        </w:rPr>
        <w:t>.</w:t>
      </w:r>
    </w:p>
    <w:p w14:paraId="2B3303C2" w14:textId="0FC55C18" w:rsidR="0043047C" w:rsidRDefault="0043047C" w:rsidP="002918F1">
      <w:pPr>
        <w:pStyle w:val="Paragrafoelenco"/>
        <w:numPr>
          <w:ilvl w:val="0"/>
          <w:numId w:val="43"/>
        </w:numPr>
        <w:spacing w:before="120" w:after="0" w:line="360" w:lineRule="auto"/>
        <w:rPr>
          <w:rFonts w:ascii="Arial" w:hAnsi="Arial" w:cs="Arial"/>
          <w:sz w:val="21"/>
          <w:szCs w:val="21"/>
        </w:rPr>
      </w:pPr>
      <w:r>
        <w:rPr>
          <w:rFonts w:ascii="Arial" w:hAnsi="Arial" w:cs="Arial"/>
          <w:sz w:val="21"/>
          <w:szCs w:val="21"/>
        </w:rPr>
        <w:t>Identificazione di utenti rilevanti - influencer coinvolti da argomenti e contenuti</w:t>
      </w:r>
      <w:r w:rsidR="004E0A98">
        <w:rPr>
          <w:rFonts w:ascii="Arial" w:hAnsi="Arial" w:cs="Arial"/>
          <w:sz w:val="21"/>
          <w:szCs w:val="21"/>
        </w:rPr>
        <w:t xml:space="preserve"> CONI / Italia Team e ad essi affini</w:t>
      </w:r>
    </w:p>
    <w:p w14:paraId="2BF92320" w14:textId="0EDC70EA" w:rsidR="004E0A98" w:rsidRDefault="004E0A98" w:rsidP="002918F1">
      <w:pPr>
        <w:pStyle w:val="Paragrafoelenco"/>
        <w:numPr>
          <w:ilvl w:val="0"/>
          <w:numId w:val="43"/>
        </w:numPr>
        <w:spacing w:before="120" w:after="0" w:line="360" w:lineRule="auto"/>
        <w:rPr>
          <w:rFonts w:ascii="Arial" w:hAnsi="Arial" w:cs="Arial"/>
          <w:sz w:val="21"/>
          <w:szCs w:val="21"/>
        </w:rPr>
      </w:pPr>
      <w:r>
        <w:rPr>
          <w:rFonts w:ascii="Arial" w:hAnsi="Arial" w:cs="Arial"/>
          <w:sz w:val="21"/>
          <w:szCs w:val="21"/>
        </w:rPr>
        <w:t>Identificazione di atleti e personalità CONI / Italia Team rilevanti in termini di fanbase e coinvolgimento</w:t>
      </w:r>
    </w:p>
    <w:p w14:paraId="2216E740" w14:textId="1C39A3FE" w:rsidR="006D0926" w:rsidRDefault="006D0926" w:rsidP="006D0926">
      <w:pPr>
        <w:spacing w:before="120" w:after="0" w:line="360" w:lineRule="auto"/>
        <w:ind w:left="708"/>
        <w:rPr>
          <w:rFonts w:ascii="Arial" w:hAnsi="Arial" w:cs="Arial"/>
          <w:bCs/>
          <w:sz w:val="21"/>
          <w:szCs w:val="21"/>
        </w:rPr>
      </w:pPr>
      <w:r w:rsidRPr="00C24324">
        <w:rPr>
          <w:rFonts w:ascii="Arial" w:hAnsi="Arial" w:cs="Arial"/>
          <w:bCs/>
          <w:sz w:val="21"/>
          <w:szCs w:val="21"/>
        </w:rPr>
        <w:t>Il servizio deve avere</w:t>
      </w:r>
      <w:r>
        <w:rPr>
          <w:rFonts w:ascii="Arial" w:hAnsi="Arial" w:cs="Arial"/>
          <w:bCs/>
          <w:sz w:val="21"/>
          <w:szCs w:val="21"/>
        </w:rPr>
        <w:t xml:space="preserve"> cadenza semestrale nei due anni di fornitura del servizio.</w:t>
      </w:r>
    </w:p>
    <w:p w14:paraId="38C3D3B5" w14:textId="482EF55A" w:rsidR="00C24324" w:rsidRDefault="00C24324" w:rsidP="00C10CBB">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Monitoring &amp; Benchmark</w:t>
      </w:r>
    </w:p>
    <w:p w14:paraId="4C874E78" w14:textId="2AB8FB29" w:rsidR="00C10CBB" w:rsidRDefault="00C10CBB" w:rsidP="00C10CBB">
      <w:pPr>
        <w:pStyle w:val="Paragrafoelenco"/>
        <w:spacing w:before="120" w:after="0" w:line="360" w:lineRule="auto"/>
        <w:rPr>
          <w:rFonts w:ascii="Arial" w:hAnsi="Arial" w:cs="Arial"/>
          <w:sz w:val="21"/>
          <w:szCs w:val="21"/>
        </w:rPr>
      </w:pPr>
      <w:r w:rsidRPr="00C10CBB">
        <w:rPr>
          <w:rFonts w:ascii="Arial" w:hAnsi="Arial" w:cs="Arial"/>
          <w:sz w:val="21"/>
          <w:szCs w:val="21"/>
        </w:rPr>
        <w:t xml:space="preserve">Il Fornitore </w:t>
      </w:r>
      <w:r>
        <w:rPr>
          <w:rFonts w:ascii="Arial" w:hAnsi="Arial" w:cs="Arial"/>
          <w:sz w:val="21"/>
          <w:szCs w:val="21"/>
        </w:rPr>
        <w:t>effettuare le seguenti attività:</w:t>
      </w:r>
    </w:p>
    <w:p w14:paraId="4B9DA3BD" w14:textId="5360E655" w:rsidR="00C24324" w:rsidRPr="00C10CBB" w:rsidRDefault="00C24324" w:rsidP="00C10CBB">
      <w:pPr>
        <w:pStyle w:val="Paragrafoelenco"/>
        <w:numPr>
          <w:ilvl w:val="0"/>
          <w:numId w:val="43"/>
        </w:numPr>
        <w:spacing w:before="120" w:after="0" w:line="360" w:lineRule="auto"/>
        <w:rPr>
          <w:rFonts w:ascii="Arial" w:hAnsi="Arial" w:cs="Arial"/>
          <w:sz w:val="21"/>
          <w:szCs w:val="21"/>
        </w:rPr>
      </w:pPr>
      <w:r w:rsidRPr="00C10CBB">
        <w:rPr>
          <w:rFonts w:ascii="Arial" w:hAnsi="Arial" w:cs="Arial"/>
          <w:sz w:val="21"/>
          <w:szCs w:val="21"/>
        </w:rPr>
        <w:lastRenderedPageBreak/>
        <w:t>Monitoraggio e analisi periodica delle performance delle piattaforme Digital e Social del CONI secondo diversi KPI (crescita fan base, engagement, geolocalizzazione delle discussioni, tracking degli hashtag, sentiment analysis e monitoraggio delle conversazioni degli utenti)</w:t>
      </w:r>
      <w:r w:rsidR="00C10CBB">
        <w:rPr>
          <w:rFonts w:ascii="Arial" w:hAnsi="Arial" w:cs="Arial"/>
          <w:sz w:val="21"/>
          <w:szCs w:val="21"/>
        </w:rPr>
        <w:t>;</w:t>
      </w:r>
    </w:p>
    <w:p w14:paraId="799F7375" w14:textId="77777777" w:rsidR="00C24324" w:rsidRPr="00C10CBB" w:rsidRDefault="00C24324" w:rsidP="00C10CBB">
      <w:pPr>
        <w:pStyle w:val="Paragrafoelenco"/>
        <w:numPr>
          <w:ilvl w:val="0"/>
          <w:numId w:val="43"/>
        </w:numPr>
        <w:spacing w:before="120" w:after="0" w:line="360" w:lineRule="auto"/>
        <w:rPr>
          <w:rFonts w:ascii="Arial" w:hAnsi="Arial" w:cs="Arial"/>
          <w:sz w:val="21"/>
          <w:szCs w:val="21"/>
        </w:rPr>
      </w:pPr>
      <w:r w:rsidRPr="00C10CBB">
        <w:rPr>
          <w:rFonts w:ascii="Arial" w:hAnsi="Arial" w:cs="Arial"/>
          <w:sz w:val="21"/>
          <w:szCs w:val="21"/>
        </w:rPr>
        <w:t>Monitoraggio e analisi periodica delle attività svolte da altri enti e comitati olimpici su scala globale sulle piattaforme Digital e individuazione delle best practices e delle modalità di attivazione delle partnership </w:t>
      </w:r>
    </w:p>
    <w:p w14:paraId="7D854728" w14:textId="5B9D2CE0" w:rsidR="00C24324" w:rsidRPr="00C24324" w:rsidRDefault="00C10CBB" w:rsidP="00C10CBB">
      <w:pPr>
        <w:spacing w:before="120" w:after="0" w:line="360" w:lineRule="auto"/>
        <w:ind w:left="708"/>
        <w:rPr>
          <w:rFonts w:ascii="Arial" w:hAnsi="Arial" w:cs="Arial"/>
          <w:bCs/>
          <w:iCs/>
          <w:sz w:val="21"/>
          <w:szCs w:val="21"/>
        </w:rPr>
      </w:pPr>
      <w:r>
        <w:rPr>
          <w:rFonts w:ascii="Arial" w:hAnsi="Arial" w:cs="Arial"/>
          <w:bCs/>
          <w:iCs/>
          <w:sz w:val="21"/>
          <w:szCs w:val="21"/>
        </w:rPr>
        <w:t xml:space="preserve">Sono richiesi </w:t>
      </w:r>
      <w:r w:rsidR="00553FE3">
        <w:rPr>
          <w:rFonts w:ascii="Arial" w:hAnsi="Arial" w:cs="Arial"/>
          <w:bCs/>
          <w:iCs/>
          <w:sz w:val="21"/>
          <w:szCs w:val="21"/>
        </w:rPr>
        <w:t>3 report annuali.</w:t>
      </w:r>
    </w:p>
    <w:p w14:paraId="7186B228" w14:textId="25CF3BF5" w:rsidR="00053915" w:rsidRDefault="00053915" w:rsidP="00053915">
      <w:pPr>
        <w:pStyle w:val="Paragrafoelenco"/>
        <w:numPr>
          <w:ilvl w:val="1"/>
          <w:numId w:val="1"/>
        </w:numPr>
        <w:spacing w:before="120" w:after="0" w:line="360" w:lineRule="auto"/>
        <w:outlineLvl w:val="0"/>
        <w:rPr>
          <w:rFonts w:ascii="Arial" w:hAnsi="Arial" w:cs="Arial"/>
          <w:b/>
          <w:color w:val="1F497D"/>
          <w:sz w:val="21"/>
          <w:szCs w:val="21"/>
        </w:rPr>
      </w:pPr>
      <w:bookmarkStart w:id="10" w:name="_Toc478649490"/>
      <w:r>
        <w:rPr>
          <w:rFonts w:ascii="Arial" w:hAnsi="Arial" w:cs="Arial"/>
          <w:b/>
          <w:color w:val="1F497D"/>
          <w:sz w:val="21"/>
          <w:szCs w:val="21"/>
        </w:rPr>
        <w:t>CONSULTING</w:t>
      </w:r>
      <w:bookmarkEnd w:id="10"/>
    </w:p>
    <w:p w14:paraId="131347D9" w14:textId="77777777" w:rsidR="008C575B" w:rsidRDefault="008C575B" w:rsidP="008C575B">
      <w:pPr>
        <w:spacing w:before="120" w:after="0" w:line="360" w:lineRule="auto"/>
        <w:rPr>
          <w:rFonts w:ascii="Arial" w:hAnsi="Arial" w:cs="Arial"/>
          <w:sz w:val="21"/>
          <w:szCs w:val="21"/>
        </w:rPr>
      </w:pPr>
      <w:r w:rsidRPr="008C575B">
        <w:rPr>
          <w:rFonts w:ascii="Arial" w:hAnsi="Arial" w:cs="Arial"/>
          <w:sz w:val="21"/>
          <w:szCs w:val="21"/>
        </w:rPr>
        <w:t>Sono previste tre attività di ricerca all’interno di questa area:</w:t>
      </w:r>
    </w:p>
    <w:p w14:paraId="75A2B161" w14:textId="696F422E" w:rsidR="00EE5E59" w:rsidRPr="00EE5E59" w:rsidRDefault="00EE5E59" w:rsidP="00EE5E59">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Osservatorio sui principali trend e sviluppo del marketing sportivo, a livello internazionale, in relazione a Broadcasting rights, Sponsorship, Attivazioni</w:t>
      </w:r>
    </w:p>
    <w:p w14:paraId="7D7BD40A" w14:textId="7376B223" w:rsidR="00EE5E59" w:rsidRDefault="00EE5E59" w:rsidP="00EE5E59">
      <w:pPr>
        <w:spacing w:before="120" w:after="0" w:line="360" w:lineRule="auto"/>
        <w:ind w:left="708"/>
        <w:rPr>
          <w:rFonts w:ascii="Arial" w:hAnsi="Arial" w:cs="Arial"/>
          <w:bCs/>
          <w:iCs/>
          <w:sz w:val="21"/>
          <w:szCs w:val="21"/>
        </w:rPr>
      </w:pPr>
      <w:r w:rsidRPr="00EE5E59">
        <w:rPr>
          <w:rFonts w:ascii="Arial" w:hAnsi="Arial" w:cs="Arial"/>
          <w:bCs/>
          <w:iCs/>
          <w:sz w:val="21"/>
          <w:szCs w:val="21"/>
        </w:rPr>
        <w:t xml:space="preserve">Il </w:t>
      </w:r>
      <w:r w:rsidR="00FD204F">
        <w:rPr>
          <w:rFonts w:ascii="Arial" w:hAnsi="Arial" w:cs="Arial"/>
          <w:bCs/>
          <w:iCs/>
          <w:sz w:val="21"/>
          <w:szCs w:val="21"/>
        </w:rPr>
        <w:t>Fornitore</w:t>
      </w:r>
      <w:r w:rsidRPr="00EE5E59">
        <w:rPr>
          <w:rFonts w:ascii="Arial" w:hAnsi="Arial" w:cs="Arial"/>
          <w:bCs/>
          <w:iCs/>
          <w:sz w:val="21"/>
          <w:szCs w:val="21"/>
        </w:rPr>
        <w:t xml:space="preserve"> dovrà fornire trimestralmente una panoramica dei deal e delle iniziative più rilevanti ed innovative per il settore dello sport marketing, fornendo per ognuna il seguente livello di dettaglio</w:t>
      </w:r>
      <w:r>
        <w:rPr>
          <w:rFonts w:ascii="Arial" w:hAnsi="Arial" w:cs="Arial"/>
          <w:bCs/>
          <w:iCs/>
          <w:sz w:val="21"/>
          <w:szCs w:val="21"/>
        </w:rPr>
        <w:t>:</w:t>
      </w:r>
    </w:p>
    <w:p w14:paraId="312EE3DC"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elementi chiave del deal (importo, durata, qualifica, contenuti, anagrafica delle parti, ecc.) sia in ambito broadcasting rights che sponsorship</w:t>
      </w:r>
      <w:r>
        <w:rPr>
          <w:rFonts w:ascii="Arial" w:hAnsi="Arial" w:cs="Arial"/>
          <w:sz w:val="21"/>
          <w:szCs w:val="21"/>
        </w:rPr>
        <w:t>;</w:t>
      </w:r>
    </w:p>
    <w:p w14:paraId="6EE848FC"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descrizione delle iniziative previste dalla attivazione e dalle parti coinvolte</w:t>
      </w:r>
      <w:r>
        <w:rPr>
          <w:rFonts w:ascii="Arial" w:hAnsi="Arial" w:cs="Arial"/>
          <w:sz w:val="21"/>
          <w:szCs w:val="21"/>
        </w:rPr>
        <w:t>;</w:t>
      </w:r>
    </w:p>
    <w:p w14:paraId="6044D21F"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KPI generati dalla attivazione (contatti, partecipazione, impatto, ecc.)</w:t>
      </w:r>
      <w:r>
        <w:rPr>
          <w:rFonts w:ascii="Arial" w:hAnsi="Arial" w:cs="Arial"/>
          <w:sz w:val="21"/>
          <w:szCs w:val="21"/>
        </w:rPr>
        <w:t>;</w:t>
      </w:r>
    </w:p>
    <w:p w14:paraId="4B3DE2BA"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estratti foto/video della attivazione</w:t>
      </w:r>
      <w:r>
        <w:rPr>
          <w:rFonts w:ascii="Arial" w:hAnsi="Arial" w:cs="Arial"/>
          <w:sz w:val="21"/>
          <w:szCs w:val="21"/>
        </w:rPr>
        <w:t>;</w:t>
      </w:r>
    </w:p>
    <w:p w14:paraId="7F5FF879" w14:textId="202FCFE4" w:rsidR="00EE5E59"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indicazioni operative su come rielaborare le informazioni raccolte al contesto italiano e del CONI</w:t>
      </w:r>
      <w:r>
        <w:rPr>
          <w:rFonts w:ascii="Arial" w:hAnsi="Arial" w:cs="Arial"/>
          <w:sz w:val="21"/>
          <w:szCs w:val="21"/>
        </w:rPr>
        <w:t>.</w:t>
      </w:r>
    </w:p>
    <w:p w14:paraId="606F229F" w14:textId="5730C0A7" w:rsidR="00EE5E59" w:rsidRPr="00EE5E59" w:rsidRDefault="00EE5E59" w:rsidP="00EE5E59">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Studi ad hoc: ‘Progetto Scuola’ e ‘Turismo Sportivo’</w:t>
      </w:r>
    </w:p>
    <w:p w14:paraId="12C91B94" w14:textId="48474E49" w:rsidR="00EE5E59" w:rsidRPr="009840E9" w:rsidRDefault="008F44C2" w:rsidP="008F44C2">
      <w:pPr>
        <w:pStyle w:val="Paragrafoelenco"/>
        <w:numPr>
          <w:ilvl w:val="0"/>
          <w:numId w:val="43"/>
        </w:numPr>
        <w:spacing w:before="120" w:after="0" w:line="360" w:lineRule="auto"/>
        <w:rPr>
          <w:rFonts w:ascii="Arial" w:hAnsi="Arial" w:cs="Arial"/>
          <w:b/>
          <w:sz w:val="21"/>
          <w:szCs w:val="21"/>
        </w:rPr>
      </w:pPr>
      <w:r w:rsidRPr="009840E9">
        <w:rPr>
          <w:rFonts w:ascii="Arial" w:hAnsi="Arial" w:cs="Arial"/>
          <w:b/>
          <w:sz w:val="21"/>
          <w:szCs w:val="21"/>
        </w:rPr>
        <w:t>Progetto Scuola</w:t>
      </w:r>
    </w:p>
    <w:p w14:paraId="1CC18CE7" w14:textId="562D7ACE" w:rsidR="008F44C2" w:rsidRDefault="008F44C2" w:rsidP="008F44C2">
      <w:pPr>
        <w:pStyle w:val="Paragrafoelenco"/>
        <w:spacing w:before="120" w:after="0" w:line="360" w:lineRule="auto"/>
        <w:ind w:left="1440"/>
        <w:rPr>
          <w:rFonts w:ascii="Arial" w:hAnsi="Arial" w:cs="Arial"/>
          <w:sz w:val="21"/>
          <w:szCs w:val="21"/>
        </w:rPr>
      </w:pPr>
      <w:r>
        <w:rPr>
          <w:rFonts w:ascii="Arial" w:hAnsi="Arial" w:cs="Arial"/>
          <w:bCs/>
          <w:sz w:val="21"/>
          <w:szCs w:val="21"/>
        </w:rPr>
        <w:t>Obiettivo della ricerca è l’</w:t>
      </w:r>
      <w:r w:rsidRPr="00C24324">
        <w:rPr>
          <w:rFonts w:ascii="Arial" w:hAnsi="Arial" w:cs="Arial"/>
          <w:bCs/>
          <w:sz w:val="21"/>
          <w:szCs w:val="21"/>
        </w:rPr>
        <w:t xml:space="preserve">Analisi delle iniziative e dei programmi messi in </w:t>
      </w:r>
      <w:r>
        <w:rPr>
          <w:rFonts w:ascii="Arial" w:hAnsi="Arial" w:cs="Arial"/>
          <w:bCs/>
          <w:sz w:val="21"/>
          <w:szCs w:val="21"/>
        </w:rPr>
        <w:t>campo da Canada, UK e Germania oltre</w:t>
      </w:r>
      <w:r w:rsidRPr="00C24324">
        <w:rPr>
          <w:rFonts w:ascii="Arial" w:hAnsi="Arial" w:cs="Arial"/>
          <w:bCs/>
          <w:sz w:val="21"/>
          <w:szCs w:val="21"/>
        </w:rPr>
        <w:t xml:space="preserve"> altre best practices rilevate, con il seguente dettaglio:</w:t>
      </w:r>
    </w:p>
    <w:p w14:paraId="33E493D5" w14:textId="6FE4E27D"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descrizione generale dei programmi e dei principali obiettivi</w:t>
      </w:r>
      <w:r>
        <w:rPr>
          <w:rFonts w:ascii="Arial" w:hAnsi="Arial" w:cs="Arial"/>
          <w:bCs/>
          <w:sz w:val="21"/>
          <w:szCs w:val="21"/>
        </w:rPr>
        <w:t>;</w:t>
      </w:r>
    </w:p>
    <w:p w14:paraId="63081FA1" w14:textId="3AD1C727"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dettaglio delle singole iniziative previste da ciascun programma (e livello di investimento ove disponibile)</w:t>
      </w:r>
      <w:r>
        <w:rPr>
          <w:rFonts w:ascii="Arial" w:hAnsi="Arial" w:cs="Arial"/>
          <w:bCs/>
          <w:sz w:val="21"/>
          <w:szCs w:val="21"/>
        </w:rPr>
        <w:t>;</w:t>
      </w:r>
    </w:p>
    <w:p w14:paraId="49B247BE" w14:textId="1CD1F2D2"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lastRenderedPageBreak/>
        <w:t>livello di partecipazione previsto ed ottenuto dall'ente scolastico</w:t>
      </w:r>
      <w:r>
        <w:rPr>
          <w:rFonts w:ascii="Arial" w:hAnsi="Arial" w:cs="Arial"/>
          <w:bCs/>
          <w:sz w:val="21"/>
          <w:szCs w:val="21"/>
        </w:rPr>
        <w:t>;</w:t>
      </w:r>
    </w:p>
    <w:p w14:paraId="57771F36" w14:textId="3D5D18FD"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KPI generati dai programmi (partecipazione, impatto sulla pratica sportiva della popolazione interessata, percezione del programma, ecc.)</w:t>
      </w:r>
      <w:r>
        <w:rPr>
          <w:rFonts w:ascii="Arial" w:hAnsi="Arial" w:cs="Arial"/>
          <w:bCs/>
          <w:sz w:val="21"/>
          <w:szCs w:val="21"/>
        </w:rPr>
        <w:t>;</w:t>
      </w:r>
    </w:p>
    <w:p w14:paraId="4833AD2A" w14:textId="37946C51" w:rsidR="00EE5E59"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indicazioni operative su come e cosa rielaborare dei programmi analizzati in relazione al contesto italiano e del CONI</w:t>
      </w:r>
      <w:r>
        <w:rPr>
          <w:rFonts w:ascii="Arial" w:hAnsi="Arial" w:cs="Arial"/>
          <w:bCs/>
          <w:sz w:val="21"/>
          <w:szCs w:val="21"/>
        </w:rPr>
        <w:t>;</w:t>
      </w:r>
    </w:p>
    <w:p w14:paraId="008D2733" w14:textId="133AC0D8" w:rsidR="009840E9" w:rsidRPr="009840E9" w:rsidRDefault="009840E9" w:rsidP="009840E9">
      <w:pPr>
        <w:pStyle w:val="Paragrafoelenco"/>
        <w:numPr>
          <w:ilvl w:val="0"/>
          <w:numId w:val="43"/>
        </w:numPr>
        <w:spacing w:before="120" w:after="0" w:line="360" w:lineRule="auto"/>
        <w:rPr>
          <w:rFonts w:ascii="Arial" w:hAnsi="Arial" w:cs="Arial"/>
          <w:b/>
          <w:sz w:val="21"/>
          <w:szCs w:val="21"/>
        </w:rPr>
      </w:pPr>
      <w:r>
        <w:rPr>
          <w:rFonts w:ascii="Arial" w:hAnsi="Arial" w:cs="Arial"/>
          <w:b/>
          <w:sz w:val="21"/>
          <w:szCs w:val="21"/>
        </w:rPr>
        <w:t>Turismo sportivo</w:t>
      </w:r>
    </w:p>
    <w:p w14:paraId="21A2A3C5" w14:textId="2C0305C4" w:rsidR="009840E9" w:rsidRPr="009840E9" w:rsidRDefault="009840E9" w:rsidP="009840E9">
      <w:pPr>
        <w:pStyle w:val="Paragrafoelenco"/>
        <w:spacing w:before="120" w:after="0" w:line="360" w:lineRule="auto"/>
        <w:ind w:left="1440"/>
        <w:rPr>
          <w:rFonts w:ascii="Arial" w:hAnsi="Arial" w:cs="Arial"/>
          <w:bCs/>
          <w:sz w:val="21"/>
          <w:szCs w:val="21"/>
        </w:rPr>
      </w:pPr>
      <w:r>
        <w:rPr>
          <w:rFonts w:ascii="Arial" w:hAnsi="Arial" w:cs="Arial"/>
          <w:bCs/>
          <w:sz w:val="21"/>
          <w:szCs w:val="21"/>
        </w:rPr>
        <w:t>Obiettivo della ricerca è l’</w:t>
      </w:r>
      <w:r w:rsidRPr="009840E9">
        <w:rPr>
          <w:rFonts w:ascii="Arial" w:hAnsi="Arial" w:cs="Arial"/>
          <w:bCs/>
          <w:sz w:val="21"/>
          <w:szCs w:val="21"/>
        </w:rPr>
        <w:t>Analisi delle principali destinazioni di turismo sportivo, nel contesto globale, con il seguente dettaglio:</w:t>
      </w:r>
    </w:p>
    <w:p w14:paraId="7771797B" w14:textId="1B7EA6C7"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dettaglio degli sport coinvolti, per tipologia di meta, con descrizione dei relativi eventi</w:t>
      </w:r>
      <w:r w:rsidR="00281DAF">
        <w:rPr>
          <w:rFonts w:ascii="Arial" w:hAnsi="Arial" w:cs="Arial"/>
          <w:bCs/>
          <w:sz w:val="21"/>
          <w:szCs w:val="21"/>
        </w:rPr>
        <w:t>;</w:t>
      </w:r>
    </w:p>
    <w:p w14:paraId="574E575F" w14:textId="3A5EBDFB"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descrizione di ciascun evento individuato, inclusiva dei principali KPI (tipo di competizione/attività, durata, partecipazione, ecc.)</w:t>
      </w:r>
      <w:r w:rsidR="00281DAF">
        <w:rPr>
          <w:rFonts w:ascii="Arial" w:hAnsi="Arial" w:cs="Arial"/>
          <w:bCs/>
          <w:sz w:val="21"/>
          <w:szCs w:val="21"/>
        </w:rPr>
        <w:t>;</w:t>
      </w:r>
    </w:p>
    <w:p w14:paraId="737AC2BB" w14:textId="41AAE6DB"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dagli enti di trasporto locale, in relazione a ciascun evento</w:t>
      </w:r>
      <w:r w:rsidR="00281DAF">
        <w:rPr>
          <w:rFonts w:ascii="Arial" w:hAnsi="Arial" w:cs="Arial"/>
          <w:bCs/>
          <w:sz w:val="21"/>
          <w:szCs w:val="21"/>
        </w:rPr>
        <w:t>;</w:t>
      </w:r>
    </w:p>
    <w:p w14:paraId="478D7D5D" w14:textId="13E73433"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sul trasporto locale e sui servizi accessori</w:t>
      </w:r>
      <w:r w:rsidR="00281DAF">
        <w:rPr>
          <w:rFonts w:ascii="Arial" w:hAnsi="Arial" w:cs="Arial"/>
          <w:bCs/>
          <w:sz w:val="21"/>
          <w:szCs w:val="21"/>
        </w:rPr>
        <w:t>;</w:t>
      </w:r>
    </w:p>
    <w:p w14:paraId="1A0F3553" w14:textId="160AB16A"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dal comparto delle attività ricettive locali, in relazione a ciascun evento</w:t>
      </w:r>
      <w:r w:rsidR="00281DAF">
        <w:rPr>
          <w:rFonts w:ascii="Arial" w:hAnsi="Arial" w:cs="Arial"/>
          <w:bCs/>
          <w:sz w:val="21"/>
          <w:szCs w:val="21"/>
        </w:rPr>
        <w:t>;</w:t>
      </w:r>
    </w:p>
    <w:p w14:paraId="547D7124" w14:textId="77C14CD1"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sul comparto delle attività ricettive locali, e sui servizi turistici annessi</w:t>
      </w:r>
      <w:r w:rsidR="00281DAF">
        <w:rPr>
          <w:rFonts w:ascii="Arial" w:hAnsi="Arial" w:cs="Arial"/>
          <w:bCs/>
          <w:sz w:val="21"/>
          <w:szCs w:val="21"/>
        </w:rPr>
        <w:t>;</w:t>
      </w:r>
    </w:p>
    <w:p w14:paraId="6B6A508F" w14:textId="7AD9E088"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dagli enti museali/culturali/artistici locali, in relazione a ciascun evento</w:t>
      </w:r>
      <w:r w:rsidR="00281DAF">
        <w:rPr>
          <w:rFonts w:ascii="Arial" w:hAnsi="Arial" w:cs="Arial"/>
          <w:bCs/>
          <w:sz w:val="21"/>
          <w:szCs w:val="21"/>
        </w:rPr>
        <w:t>;</w:t>
      </w:r>
    </w:p>
    <w:p w14:paraId="01870384" w14:textId="56A31774" w:rsidR="00EE5E5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per gli enti museali/culturali/artistici locali</w:t>
      </w:r>
      <w:r w:rsidR="00281DAF">
        <w:rPr>
          <w:rFonts w:ascii="Arial" w:hAnsi="Arial" w:cs="Arial"/>
          <w:bCs/>
          <w:sz w:val="21"/>
          <w:szCs w:val="21"/>
        </w:rPr>
        <w:t>.</w:t>
      </w:r>
    </w:p>
    <w:p w14:paraId="5903CE71" w14:textId="00EEF2EB" w:rsidR="00281DAF" w:rsidRPr="00EE5E59" w:rsidRDefault="00281DAF" w:rsidP="00281DAF">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Partners Management</w:t>
      </w:r>
    </w:p>
    <w:p w14:paraId="53EA982C" w14:textId="52BF0610" w:rsidR="00281DAF" w:rsidRDefault="00281DAF" w:rsidP="00281DAF">
      <w:pPr>
        <w:spacing w:before="120" w:after="0" w:line="360" w:lineRule="auto"/>
        <w:ind w:left="708"/>
        <w:rPr>
          <w:rFonts w:ascii="Arial" w:hAnsi="Arial" w:cs="Arial"/>
          <w:sz w:val="21"/>
          <w:szCs w:val="21"/>
        </w:rPr>
      </w:pPr>
      <w:r w:rsidRPr="00281DAF">
        <w:rPr>
          <w:rFonts w:ascii="Arial" w:hAnsi="Arial" w:cs="Arial"/>
          <w:bCs/>
          <w:iCs/>
          <w:sz w:val="21"/>
          <w:szCs w:val="21"/>
        </w:rPr>
        <w:t>Il</w:t>
      </w:r>
      <w:r>
        <w:rPr>
          <w:rFonts w:ascii="Arial" w:hAnsi="Arial" w:cs="Arial"/>
          <w:sz w:val="21"/>
          <w:szCs w:val="21"/>
        </w:rPr>
        <w:t xml:space="preserve"> Fornitore dovrà:</w:t>
      </w:r>
    </w:p>
    <w:p w14:paraId="6F234B22" w14:textId="2803DD53"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Condurre un'analisi delle partnership in corso, e dei relativi partner, al fine di comprendere i principali obiettivi di comunicazione e di business di ciascun partner, in relazione alla partnership con il CONI</w:t>
      </w:r>
      <w:r w:rsidR="00896F2B">
        <w:rPr>
          <w:rFonts w:ascii="Arial" w:hAnsi="Arial" w:cs="Arial"/>
          <w:sz w:val="21"/>
          <w:szCs w:val="21"/>
        </w:rPr>
        <w:t>;</w:t>
      </w:r>
    </w:p>
    <w:p w14:paraId="380646B2" w14:textId="00FC32F8"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Definire un modello di misurazione integrato ad hoc per ciascun partner, sulla base delle analisi condotte, al fine di misurare le performance della partnership in relazione agli obiettivi. Tali modelli dovranno:</w:t>
      </w:r>
    </w:p>
    <w:p w14:paraId="63D2F181" w14:textId="6003773A" w:rsidR="00281DAF" w:rsidRPr="00896F2B" w:rsidRDefault="00281DAF" w:rsidP="00896F2B">
      <w:pPr>
        <w:pStyle w:val="Paragrafoelenco"/>
        <w:numPr>
          <w:ilvl w:val="0"/>
          <w:numId w:val="47"/>
        </w:numPr>
        <w:spacing w:before="120" w:after="0" w:line="360" w:lineRule="auto"/>
        <w:rPr>
          <w:rFonts w:ascii="Arial" w:hAnsi="Arial" w:cs="Arial"/>
          <w:sz w:val="21"/>
          <w:szCs w:val="21"/>
        </w:rPr>
      </w:pPr>
      <w:r w:rsidRPr="00896F2B">
        <w:rPr>
          <w:rFonts w:ascii="Arial" w:hAnsi="Arial" w:cs="Arial"/>
          <w:sz w:val="21"/>
          <w:szCs w:val="21"/>
        </w:rPr>
        <w:lastRenderedPageBreak/>
        <w:t>considerare dati sia primari che secondari, di tipo sia quantitativo che qualitativo (e.g. analisi di media digitali e tradizionali, ricerche di mercato, intelligence su sponsorizzazioni ed attivazioni, ecc.)</w:t>
      </w:r>
      <w:r w:rsidR="00896F2B">
        <w:rPr>
          <w:rFonts w:ascii="Arial" w:hAnsi="Arial" w:cs="Arial"/>
          <w:sz w:val="21"/>
          <w:szCs w:val="21"/>
        </w:rPr>
        <w:t>;</w:t>
      </w:r>
    </w:p>
    <w:p w14:paraId="2E87CFB6" w14:textId="42B6161F" w:rsidR="00281DAF" w:rsidRPr="00896F2B" w:rsidRDefault="00281DAF" w:rsidP="00896F2B">
      <w:pPr>
        <w:pStyle w:val="Paragrafoelenco"/>
        <w:numPr>
          <w:ilvl w:val="0"/>
          <w:numId w:val="47"/>
        </w:numPr>
        <w:spacing w:before="120" w:after="0" w:line="360" w:lineRule="auto"/>
        <w:rPr>
          <w:rFonts w:ascii="Arial" w:hAnsi="Arial" w:cs="Arial"/>
          <w:sz w:val="21"/>
          <w:szCs w:val="21"/>
        </w:rPr>
      </w:pPr>
      <w:r w:rsidRPr="00896F2B">
        <w:rPr>
          <w:rFonts w:ascii="Arial" w:hAnsi="Arial" w:cs="Arial"/>
          <w:sz w:val="21"/>
          <w:szCs w:val="21"/>
        </w:rPr>
        <w:t>poter integrare i dati raccolti con dati già nella disponibilità del CONI che dei partner</w:t>
      </w:r>
      <w:r w:rsidR="00896F2B">
        <w:rPr>
          <w:rFonts w:ascii="Arial" w:hAnsi="Arial" w:cs="Arial"/>
          <w:sz w:val="21"/>
          <w:szCs w:val="21"/>
        </w:rPr>
        <w:t>;</w:t>
      </w:r>
    </w:p>
    <w:p w14:paraId="2B383789" w14:textId="5E7B8B7C"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Sviluppare indicazioni operative su come ottimizzare ed incrementare la performance delle partnership</w:t>
      </w:r>
      <w:r w:rsidR="00896F2B">
        <w:rPr>
          <w:rFonts w:ascii="Arial" w:hAnsi="Arial" w:cs="Arial"/>
          <w:sz w:val="21"/>
          <w:szCs w:val="21"/>
        </w:rPr>
        <w:t>.</w:t>
      </w:r>
    </w:p>
    <w:p w14:paraId="5F6C2C41" w14:textId="6A465ECC" w:rsidR="00281DAF" w:rsidRPr="00281DAF" w:rsidRDefault="00281DAF" w:rsidP="00896F2B">
      <w:pPr>
        <w:spacing w:before="120" w:after="0" w:line="360" w:lineRule="auto"/>
        <w:ind w:left="708"/>
        <w:rPr>
          <w:rFonts w:ascii="Arial" w:hAnsi="Arial" w:cs="Arial"/>
          <w:sz w:val="21"/>
          <w:szCs w:val="21"/>
        </w:rPr>
      </w:pPr>
      <w:r w:rsidRPr="00281DAF">
        <w:rPr>
          <w:rFonts w:ascii="Arial" w:hAnsi="Arial" w:cs="Arial"/>
          <w:sz w:val="21"/>
          <w:szCs w:val="21"/>
        </w:rPr>
        <w:t>I report richiesti d</w:t>
      </w:r>
      <w:r w:rsidR="00896F2B">
        <w:rPr>
          <w:rFonts w:ascii="Arial" w:hAnsi="Arial" w:cs="Arial"/>
          <w:sz w:val="21"/>
          <w:szCs w:val="21"/>
        </w:rPr>
        <w:t>ovranno</w:t>
      </w:r>
      <w:r w:rsidRPr="00281DAF">
        <w:rPr>
          <w:rFonts w:ascii="Arial" w:hAnsi="Arial" w:cs="Arial"/>
          <w:sz w:val="21"/>
          <w:szCs w:val="21"/>
        </w:rPr>
        <w:t xml:space="preserve"> avere cadenza uno l’anno. Sono da considerare interviste ed analisi con i 7 partner principali oltre all'implementazione del KPI model.</w:t>
      </w:r>
    </w:p>
    <w:p w14:paraId="735A7EE3" w14:textId="775BC0CE" w:rsidR="00896F2B" w:rsidRPr="0043047C" w:rsidRDefault="00021206" w:rsidP="005432C5">
      <w:pPr>
        <w:numPr>
          <w:ilvl w:val="0"/>
          <w:numId w:val="1"/>
        </w:numPr>
        <w:spacing w:before="120" w:after="0" w:line="360" w:lineRule="auto"/>
        <w:ind w:left="357" w:hanging="357"/>
        <w:outlineLvl w:val="0"/>
        <w:rPr>
          <w:rFonts w:ascii="Arial" w:hAnsi="Arial" w:cs="Arial"/>
          <w:sz w:val="21"/>
          <w:szCs w:val="21"/>
        </w:rPr>
      </w:pPr>
      <w:bookmarkStart w:id="11" w:name="_Toc478649491"/>
      <w:r w:rsidRPr="009B79FF">
        <w:rPr>
          <w:rFonts w:ascii="Arial" w:hAnsi="Arial" w:cs="Arial"/>
          <w:b/>
          <w:color w:val="1F497D"/>
          <w:sz w:val="21"/>
          <w:szCs w:val="21"/>
        </w:rPr>
        <w:t xml:space="preserve">TEAM DI </w:t>
      </w:r>
      <w:r w:rsidR="00700A65">
        <w:rPr>
          <w:rFonts w:ascii="Arial" w:hAnsi="Arial" w:cs="Arial"/>
          <w:b/>
          <w:color w:val="1F497D"/>
          <w:sz w:val="21"/>
          <w:szCs w:val="21"/>
        </w:rPr>
        <w:t>SERVIZIO</w:t>
      </w:r>
      <w:bookmarkEnd w:id="11"/>
    </w:p>
    <w:p w14:paraId="7499AF16" w14:textId="39E03C50"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Le risorse componenti il Team di servizio devono essere legate al </w:t>
      </w:r>
      <w:r w:rsidR="00FD204F">
        <w:rPr>
          <w:rFonts w:ascii="Arial" w:hAnsi="Arial" w:cs="Arial"/>
          <w:sz w:val="21"/>
          <w:szCs w:val="21"/>
        </w:rPr>
        <w:t>Fornitore</w:t>
      </w:r>
      <w:r w:rsidRPr="00700A65">
        <w:rPr>
          <w:rFonts w:ascii="Arial" w:hAnsi="Arial" w:cs="Arial"/>
          <w:sz w:val="21"/>
          <w:szCs w:val="21"/>
        </w:rPr>
        <w:t xml:space="preserve"> da vincolo di lavoro dipendente o da contratto.</w:t>
      </w:r>
    </w:p>
    <w:p w14:paraId="46DEE736" w14:textId="67A6DF41"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Coni Servizi si riserva la possibilità di richiedere al </w:t>
      </w:r>
      <w:r w:rsidR="00FD204F">
        <w:rPr>
          <w:rFonts w:ascii="Arial" w:hAnsi="Arial" w:cs="Arial"/>
          <w:sz w:val="21"/>
          <w:szCs w:val="21"/>
        </w:rPr>
        <w:t>Fornitore</w:t>
      </w:r>
      <w:r w:rsidRPr="00700A65">
        <w:rPr>
          <w:rFonts w:ascii="Arial" w:hAnsi="Arial" w:cs="Arial"/>
          <w:sz w:val="21"/>
          <w:szCs w:val="21"/>
        </w:rPr>
        <w:t xml:space="preserve"> , l’esibizione, entro 5 giorni lavorativi dalla richiesta, di fotocopia (eventualmente cancellata di alcuni dati) dell’ultimo cedolino dello stipendio o del contratto legalmente valido che dimostrino il vincolo di collaborazione.</w:t>
      </w:r>
    </w:p>
    <w:p w14:paraId="1D5BB72D" w14:textId="1C04693B" w:rsidR="00700A65" w:rsidRPr="00700A65" w:rsidRDefault="00700A65" w:rsidP="005432C5">
      <w:pPr>
        <w:spacing w:before="120" w:after="0" w:line="360" w:lineRule="auto"/>
        <w:rPr>
          <w:rFonts w:ascii="Arial" w:hAnsi="Arial" w:cs="Arial"/>
          <w:sz w:val="21"/>
          <w:szCs w:val="21"/>
        </w:rPr>
      </w:pPr>
      <w:r w:rsidRPr="00700A65">
        <w:rPr>
          <w:rFonts w:ascii="Arial" w:hAnsi="Arial" w:cs="Arial"/>
          <w:sz w:val="21"/>
          <w:szCs w:val="21"/>
        </w:rPr>
        <w:t>In caso di assenza di vincolo di lavoro dipendente o di collaborazione la risorsa verrà considerata come non facente parte del Team di servizio e si procederà alla risoluzione di diritto del contratto, all’escussione della cauzione definitiva, nonché all’avvio di ogni altra iniziativa legale tendente a conseguire il ristoro dei maggiori danni subiti.</w:t>
      </w:r>
    </w:p>
    <w:p w14:paraId="628F0134" w14:textId="3F882C24"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ritardo nell’invio dei documenti richiesti, durante l’esecuzione del contratto, verranno applicate le penalità indicate al successivo paragrafo </w:t>
      </w:r>
      <w:r w:rsidR="003A74F8">
        <w:rPr>
          <w:rFonts w:ascii="Arial" w:hAnsi="Arial" w:cs="Arial"/>
          <w:sz w:val="21"/>
          <w:szCs w:val="21"/>
        </w:rPr>
        <w:t>8</w:t>
      </w:r>
      <w:r w:rsidRPr="00700A65">
        <w:rPr>
          <w:rFonts w:ascii="Arial" w:hAnsi="Arial" w:cs="Arial"/>
          <w:sz w:val="21"/>
          <w:szCs w:val="21"/>
        </w:rPr>
        <w:t>.</w:t>
      </w:r>
    </w:p>
    <w:p w14:paraId="232E0926" w14:textId="7ED0F185"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La struttura dedicata all’esecuzione dei servizi oggetto del presente Capitolato, così come esplicitamente indicata in sede di offerta tecnica, costituirà obbligo contrattuale vincolante per il </w:t>
      </w:r>
      <w:r w:rsidR="00FD204F">
        <w:rPr>
          <w:rFonts w:ascii="Arial" w:hAnsi="Arial" w:cs="Arial"/>
          <w:sz w:val="21"/>
          <w:szCs w:val="21"/>
        </w:rPr>
        <w:t>Fornitore</w:t>
      </w:r>
      <w:r w:rsidRPr="00700A65">
        <w:rPr>
          <w:rFonts w:ascii="Arial" w:hAnsi="Arial" w:cs="Arial"/>
          <w:sz w:val="21"/>
          <w:szCs w:val="21"/>
        </w:rPr>
        <w:t>.</w:t>
      </w:r>
    </w:p>
    <w:p w14:paraId="3821C7CE"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Eventuali avvicendamenti riguardanti il Personale che compone il Team di servizio, dovranno essere concordati ed esplicitamente autorizzati da parte del Responsabile del procedimento per la fase di esecuzione del contratto.</w:t>
      </w:r>
    </w:p>
    <w:p w14:paraId="02FAEAE1"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La sostituzione dovrà avvenire con una risorsa analoga per livello, profilo ed esperienze.</w:t>
      </w:r>
    </w:p>
    <w:p w14:paraId="6F116053" w14:textId="78F8B694"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mancata autorizzazione, il Responsabile del procedimento per la fase di esecuzione del contratto potrà rifiutare i servizi e ciò si configurerà quale motivo di grave inadempimento contrattuale quindi, ferma restando l’applicazione delle penali stabilite, Coni Servizi si riserva la possibilità di </w:t>
      </w:r>
      <w:r w:rsidRPr="00700A65">
        <w:rPr>
          <w:rFonts w:ascii="Arial" w:hAnsi="Arial" w:cs="Arial"/>
          <w:sz w:val="21"/>
          <w:szCs w:val="21"/>
        </w:rPr>
        <w:lastRenderedPageBreak/>
        <w:t xml:space="preserve">disporre l’affidamento dei servizi medesimi ad altro </w:t>
      </w:r>
      <w:r w:rsidR="00FD204F">
        <w:rPr>
          <w:rFonts w:ascii="Arial" w:hAnsi="Arial" w:cs="Arial"/>
          <w:sz w:val="21"/>
          <w:szCs w:val="21"/>
        </w:rPr>
        <w:t>Fornitore</w:t>
      </w:r>
      <w:r w:rsidRPr="00700A65">
        <w:rPr>
          <w:rFonts w:ascii="Arial" w:hAnsi="Arial" w:cs="Arial"/>
          <w:sz w:val="21"/>
          <w:szCs w:val="21"/>
        </w:rPr>
        <w:t>, con la risoluzione di diritto del Contratto e l’escussione della cauzione definitiva, nonché l’avvio di ogni altra iniziativa legale tendente a conseguire il ristoro dei maggiori danni subiti.</w:t>
      </w:r>
    </w:p>
    <w:p w14:paraId="08A93EE7" w14:textId="13F5D34A"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Coni Servizi si riserva l’insindacabile facoltà di esprimere il mancato gradimento delle risorse messe a disposizione dal </w:t>
      </w:r>
      <w:r w:rsidR="00FD204F">
        <w:rPr>
          <w:rFonts w:ascii="Arial" w:hAnsi="Arial" w:cs="Arial"/>
          <w:sz w:val="21"/>
          <w:szCs w:val="21"/>
        </w:rPr>
        <w:t>Fornitore</w:t>
      </w:r>
      <w:r w:rsidRPr="00700A65">
        <w:rPr>
          <w:rFonts w:ascii="Arial" w:hAnsi="Arial" w:cs="Arial"/>
          <w:sz w:val="21"/>
          <w:szCs w:val="21"/>
        </w:rPr>
        <w:t xml:space="preserve"> e potrà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14:paraId="5FDED9F1" w14:textId="109BA710"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Il </w:t>
      </w:r>
      <w:r w:rsidR="00FD204F">
        <w:rPr>
          <w:rFonts w:ascii="Arial" w:hAnsi="Arial" w:cs="Arial"/>
          <w:sz w:val="21"/>
          <w:szCs w:val="21"/>
        </w:rPr>
        <w:t>Fornitore</w:t>
      </w:r>
      <w:r w:rsidRPr="00700A65">
        <w:rPr>
          <w:rFonts w:ascii="Arial" w:hAnsi="Arial" w:cs="Arial"/>
          <w:sz w:val="21"/>
          <w:szCs w:val="21"/>
        </w:rPr>
        <w:t xml:space="preserve"> è tenuto alla sostituzione delle risorse non gradite entro un termine non superiore a </w:t>
      </w:r>
      <w:r>
        <w:rPr>
          <w:rFonts w:ascii="Arial" w:hAnsi="Arial" w:cs="Arial"/>
          <w:sz w:val="21"/>
          <w:szCs w:val="21"/>
        </w:rPr>
        <w:t>7</w:t>
      </w:r>
      <w:r w:rsidRPr="00700A65">
        <w:rPr>
          <w:rFonts w:ascii="Arial" w:hAnsi="Arial" w:cs="Arial"/>
          <w:sz w:val="21"/>
          <w:szCs w:val="21"/>
        </w:rPr>
        <w:t xml:space="preserve"> giorni lavorativi a partire dalla richiesta di Coni Servizi.</w:t>
      </w:r>
    </w:p>
    <w:p w14:paraId="035BCAF8"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La sostituzione dovrà avvenire con una risorsa analoga per livello, profilo ed esperienze.</w:t>
      </w:r>
    </w:p>
    <w:p w14:paraId="73864C74" w14:textId="631DAA0B"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inadempienza il </w:t>
      </w:r>
      <w:r w:rsidR="00FD204F">
        <w:rPr>
          <w:rFonts w:ascii="Arial" w:hAnsi="Arial" w:cs="Arial"/>
          <w:sz w:val="21"/>
          <w:szCs w:val="21"/>
        </w:rPr>
        <w:t>Fornitore</w:t>
      </w:r>
      <w:r w:rsidRPr="00700A65">
        <w:rPr>
          <w:rFonts w:ascii="Arial" w:hAnsi="Arial" w:cs="Arial"/>
          <w:sz w:val="21"/>
          <w:szCs w:val="21"/>
        </w:rPr>
        <w:t xml:space="preserve"> sarà assoggettato alle penali di cui al successivo paragrafo </w:t>
      </w:r>
      <w:r w:rsidR="003A74F8">
        <w:rPr>
          <w:rFonts w:ascii="Arial" w:hAnsi="Arial" w:cs="Arial"/>
          <w:sz w:val="21"/>
          <w:szCs w:val="21"/>
        </w:rPr>
        <w:t>8</w:t>
      </w:r>
      <w:r w:rsidRPr="00700A65">
        <w:rPr>
          <w:rFonts w:ascii="Arial" w:hAnsi="Arial" w:cs="Arial"/>
          <w:sz w:val="21"/>
          <w:szCs w:val="21"/>
        </w:rPr>
        <w:t>.</w:t>
      </w:r>
    </w:p>
    <w:p w14:paraId="022FFF79" w14:textId="62298E6D"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Nel caso di sostituzione delle risorse, il </w:t>
      </w:r>
      <w:r w:rsidR="00FD204F">
        <w:rPr>
          <w:rFonts w:ascii="Arial" w:hAnsi="Arial" w:cs="Arial"/>
          <w:sz w:val="21"/>
          <w:szCs w:val="21"/>
        </w:rPr>
        <w:t>Fornitore</w:t>
      </w:r>
      <w:r w:rsidRPr="00700A65">
        <w:rPr>
          <w:rFonts w:ascii="Arial" w:hAnsi="Arial" w:cs="Arial"/>
          <w:sz w:val="21"/>
          <w:szCs w:val="21"/>
        </w:rPr>
        <w:t xml:space="preserve"> dovrà prevedere, a sue spese, all’affiancamento tra la risorsa uscente e quella entrante per un periodo minimo di </w:t>
      </w:r>
      <w:r>
        <w:rPr>
          <w:rFonts w:ascii="Arial" w:hAnsi="Arial" w:cs="Arial"/>
          <w:sz w:val="21"/>
          <w:szCs w:val="21"/>
        </w:rPr>
        <w:t>7</w:t>
      </w:r>
      <w:r w:rsidRPr="00700A65">
        <w:rPr>
          <w:rFonts w:ascii="Arial" w:hAnsi="Arial" w:cs="Arial"/>
          <w:sz w:val="21"/>
          <w:szCs w:val="21"/>
        </w:rPr>
        <w:t xml:space="preserve"> giorni lavorativi.</w:t>
      </w:r>
    </w:p>
    <w:p w14:paraId="71E2BA94" w14:textId="19502E09"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12" w:name="_Toc475352647"/>
      <w:bookmarkStart w:id="13" w:name="_Toc475356501"/>
      <w:bookmarkStart w:id="14" w:name="_Toc475722503"/>
      <w:bookmarkStart w:id="15" w:name="_Toc475722631"/>
      <w:bookmarkStart w:id="16" w:name="_Toc475722765"/>
      <w:bookmarkStart w:id="17" w:name="_Toc475723383"/>
      <w:bookmarkStart w:id="18" w:name="_Toc475352648"/>
      <w:bookmarkStart w:id="19" w:name="_Toc475356502"/>
      <w:bookmarkStart w:id="20" w:name="_Toc475722504"/>
      <w:bookmarkStart w:id="21" w:name="_Toc475722632"/>
      <w:bookmarkStart w:id="22" w:name="_Toc475722766"/>
      <w:bookmarkStart w:id="23" w:name="_Toc475723384"/>
      <w:bookmarkStart w:id="24" w:name="_Toc475352649"/>
      <w:bookmarkStart w:id="25" w:name="_Toc475356503"/>
      <w:bookmarkStart w:id="26" w:name="_Toc475722505"/>
      <w:bookmarkStart w:id="27" w:name="_Toc475722633"/>
      <w:bookmarkStart w:id="28" w:name="_Toc475722767"/>
      <w:bookmarkStart w:id="29" w:name="_Toc475723385"/>
      <w:bookmarkStart w:id="30" w:name="_Toc475352650"/>
      <w:bookmarkStart w:id="31" w:name="_Toc475356504"/>
      <w:bookmarkStart w:id="32" w:name="_Toc475722506"/>
      <w:bookmarkStart w:id="33" w:name="_Toc475722634"/>
      <w:bookmarkStart w:id="34" w:name="_Toc475722768"/>
      <w:bookmarkStart w:id="35" w:name="_Toc475723386"/>
      <w:bookmarkStart w:id="36" w:name="_Toc475352651"/>
      <w:bookmarkStart w:id="37" w:name="_Toc475356505"/>
      <w:bookmarkStart w:id="38" w:name="_Toc475722507"/>
      <w:bookmarkStart w:id="39" w:name="_Toc475722635"/>
      <w:bookmarkStart w:id="40" w:name="_Toc475722769"/>
      <w:bookmarkStart w:id="41" w:name="_Toc475723387"/>
      <w:bookmarkStart w:id="42" w:name="_Toc475352652"/>
      <w:bookmarkStart w:id="43" w:name="_Toc475356506"/>
      <w:bookmarkStart w:id="44" w:name="_Toc475722508"/>
      <w:bookmarkStart w:id="45" w:name="_Toc475722636"/>
      <w:bookmarkStart w:id="46" w:name="_Toc475722770"/>
      <w:bookmarkStart w:id="47" w:name="_Toc475723388"/>
      <w:bookmarkStart w:id="48" w:name="_Toc475352653"/>
      <w:bookmarkStart w:id="49" w:name="_Toc475356507"/>
      <w:bookmarkStart w:id="50" w:name="_Toc475722509"/>
      <w:bookmarkStart w:id="51" w:name="_Toc475722637"/>
      <w:bookmarkStart w:id="52" w:name="_Toc475722771"/>
      <w:bookmarkStart w:id="53" w:name="_Toc475723389"/>
      <w:bookmarkStart w:id="54" w:name="_Toc47864949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D80149">
        <w:rPr>
          <w:rFonts w:ascii="Arial" w:hAnsi="Arial" w:cs="Arial"/>
          <w:b/>
          <w:color w:val="1F497D"/>
          <w:sz w:val="21"/>
          <w:szCs w:val="21"/>
        </w:rPr>
        <w:t xml:space="preserve">RESPONSABILE DEL </w:t>
      </w:r>
      <w:r w:rsidR="00E725F2">
        <w:rPr>
          <w:rFonts w:ascii="Arial" w:hAnsi="Arial" w:cs="Arial"/>
          <w:b/>
          <w:color w:val="1F497D"/>
          <w:sz w:val="21"/>
          <w:szCs w:val="21"/>
        </w:rPr>
        <w:t>PROCEDIMENTO PER LA FASE DI ESECUZIONE DEL CONTRATTO</w:t>
      </w:r>
      <w:bookmarkEnd w:id="54"/>
    </w:p>
    <w:p w14:paraId="221CB99A" w14:textId="25399F37" w:rsidR="00927AB0" w:rsidRPr="00D80149" w:rsidRDefault="00927AB0" w:rsidP="009B79FF">
      <w:pPr>
        <w:spacing w:before="120" w:after="0" w:line="360" w:lineRule="auto"/>
        <w:rPr>
          <w:rFonts w:ascii="Arial" w:hAnsi="Arial" w:cs="Arial"/>
          <w:sz w:val="21"/>
          <w:szCs w:val="21"/>
        </w:rPr>
      </w:pPr>
      <w:r w:rsidRPr="00E725F2">
        <w:rPr>
          <w:rFonts w:ascii="Arial" w:hAnsi="Arial" w:cs="Arial"/>
          <w:sz w:val="21"/>
          <w:szCs w:val="21"/>
        </w:rPr>
        <w:t xml:space="preserve">Il Responsabile del procedimento per la fase di esecuzione del contratto per Coni Servizi è il Dott. </w:t>
      </w:r>
      <w:r w:rsidR="005432C5">
        <w:rPr>
          <w:rFonts w:ascii="Arial" w:hAnsi="Arial" w:cs="Arial"/>
          <w:sz w:val="21"/>
          <w:szCs w:val="21"/>
        </w:rPr>
        <w:t>Diego Nepi Molineris</w:t>
      </w:r>
      <w:r w:rsidRPr="00E725F2">
        <w:rPr>
          <w:rFonts w:ascii="Arial" w:hAnsi="Arial" w:cs="Arial"/>
          <w:sz w:val="21"/>
          <w:szCs w:val="21"/>
        </w:rPr>
        <w:t xml:space="preserve">, nella sua qualità di responsabile della Direzione “Marketing e Sviluppo” che a sua volta individuerà le risorse specifiche che si relazioneranno con il Team di servizio del </w:t>
      </w:r>
      <w:r w:rsidR="00FD204F">
        <w:rPr>
          <w:rFonts w:ascii="Arial" w:hAnsi="Arial" w:cs="Arial"/>
          <w:sz w:val="21"/>
          <w:szCs w:val="21"/>
        </w:rPr>
        <w:t>Fornitore</w:t>
      </w:r>
      <w:r w:rsidR="00430765" w:rsidRPr="00E725F2">
        <w:rPr>
          <w:rFonts w:ascii="Arial" w:hAnsi="Arial" w:cs="Arial"/>
          <w:sz w:val="21"/>
          <w:szCs w:val="21"/>
        </w:rPr>
        <w:t>.</w:t>
      </w:r>
    </w:p>
    <w:p w14:paraId="430909E9"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5" w:name="_Toc478649493"/>
      <w:r w:rsidRPr="00D80149">
        <w:rPr>
          <w:rFonts w:ascii="Arial" w:hAnsi="Arial" w:cs="Arial"/>
          <w:b/>
          <w:color w:val="1F497D"/>
          <w:sz w:val="21"/>
          <w:szCs w:val="21"/>
        </w:rPr>
        <w:t>CORRISPETTIVO</w:t>
      </w:r>
      <w:bookmarkEnd w:id="55"/>
    </w:p>
    <w:p w14:paraId="6F10989E" w14:textId="77777777" w:rsidR="00E725F2"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L’importo dell’appalto è pari ad € 1</w:t>
      </w:r>
      <w:r w:rsidR="00812ADE">
        <w:rPr>
          <w:rFonts w:ascii="Arial" w:hAnsi="Arial" w:cs="Arial"/>
          <w:bCs/>
          <w:iCs/>
          <w:sz w:val="21"/>
          <w:szCs w:val="21"/>
          <w:lang w:eastAsia="it-IT"/>
        </w:rPr>
        <w:t>6</w:t>
      </w:r>
      <w:r w:rsidRPr="00D80149">
        <w:rPr>
          <w:rFonts w:ascii="Arial" w:hAnsi="Arial" w:cs="Arial"/>
          <w:bCs/>
          <w:iCs/>
          <w:sz w:val="21"/>
          <w:szCs w:val="21"/>
          <w:lang w:eastAsia="it-IT"/>
        </w:rPr>
        <w:t>0.000,00 + IVA</w:t>
      </w:r>
      <w:r w:rsidR="00132DBA">
        <w:rPr>
          <w:rFonts w:ascii="Arial" w:hAnsi="Arial" w:cs="Arial"/>
          <w:bCs/>
          <w:iCs/>
          <w:sz w:val="21"/>
          <w:szCs w:val="21"/>
          <w:lang w:eastAsia="it-IT"/>
        </w:rPr>
        <w:t>.</w:t>
      </w:r>
      <w:r w:rsidRPr="00D80149">
        <w:rPr>
          <w:rFonts w:ascii="Arial" w:hAnsi="Arial" w:cs="Arial"/>
          <w:bCs/>
          <w:iCs/>
          <w:sz w:val="21"/>
          <w:szCs w:val="21"/>
          <w:lang w:eastAsia="it-IT"/>
        </w:rPr>
        <w:t xml:space="preserve"> </w:t>
      </w:r>
    </w:p>
    <w:p w14:paraId="08370095" w14:textId="77777777" w:rsidR="00E725F2" w:rsidRDefault="00927AB0"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Il corrispettivo contrattuale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 (comprese le eventuali spese di trasferta).</w:t>
      </w:r>
    </w:p>
    <w:p w14:paraId="35EBCFF1" w14:textId="69D1B279" w:rsidR="00E725F2" w:rsidRPr="00D80149" w:rsidRDefault="00E725F2"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Nel corso dell'esecuzione del contratto Coni Servizi si riserva comunque la facoltà di chiedere 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ha l'obbligo di accettare, alle condizioni tutte del presente Capitolato e degli altri allegati di gara, un incremento o un decremento delle prestazioni, nei limiti del quinto dell’importo del contratto ai sensi dell’art. 106, comma 12, del </w:t>
      </w:r>
      <w:r>
        <w:rPr>
          <w:rFonts w:ascii="Arial" w:hAnsi="Arial" w:cs="Arial"/>
          <w:bCs/>
          <w:iCs/>
          <w:sz w:val="21"/>
          <w:szCs w:val="21"/>
          <w:lang w:eastAsia="it-IT"/>
        </w:rPr>
        <w:t>D.Lgs. 50/2016</w:t>
      </w:r>
      <w:r w:rsidRPr="00D80149">
        <w:rPr>
          <w:rFonts w:ascii="Arial" w:hAnsi="Arial" w:cs="Arial"/>
          <w:bCs/>
          <w:iCs/>
          <w:sz w:val="21"/>
          <w:szCs w:val="21"/>
          <w:lang w:eastAsia="it-IT"/>
        </w:rPr>
        <w:t>.</w:t>
      </w:r>
    </w:p>
    <w:p w14:paraId="7F5B245A"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6" w:name="_Toc478649494"/>
      <w:r w:rsidRPr="00D80149">
        <w:rPr>
          <w:rFonts w:ascii="Arial" w:hAnsi="Arial" w:cs="Arial"/>
          <w:b/>
          <w:color w:val="1F497D"/>
          <w:sz w:val="21"/>
          <w:szCs w:val="21"/>
        </w:rPr>
        <w:t>SUBAPPALTO</w:t>
      </w:r>
      <w:bookmarkEnd w:id="56"/>
    </w:p>
    <w:p w14:paraId="668E892E" w14:textId="477D3E14"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lastRenderedPageBreak/>
        <w:t xml:space="preserve">Il subappalto è ammesso in conformità all’art. 105 del </w:t>
      </w:r>
      <w:r w:rsidR="00E725F2">
        <w:rPr>
          <w:rFonts w:ascii="Arial" w:hAnsi="Arial" w:cs="Arial"/>
          <w:sz w:val="21"/>
          <w:szCs w:val="21"/>
        </w:rPr>
        <w:t>D.Lgs. 50/2016</w:t>
      </w:r>
      <w:r w:rsidRPr="00D80149">
        <w:rPr>
          <w:rFonts w:ascii="Arial" w:hAnsi="Arial" w:cs="Arial"/>
          <w:sz w:val="21"/>
          <w:szCs w:val="21"/>
        </w:rPr>
        <w:t xml:space="preserve"> e non comporta alcuna modificazione agli obblighi e agli oneri del </w:t>
      </w:r>
      <w:r w:rsidR="00FD204F">
        <w:rPr>
          <w:rFonts w:ascii="Arial" w:hAnsi="Arial" w:cs="Arial"/>
          <w:sz w:val="21"/>
          <w:szCs w:val="21"/>
        </w:rPr>
        <w:t>Fornitore</w:t>
      </w:r>
      <w:r w:rsidRPr="00D80149">
        <w:rPr>
          <w:rFonts w:ascii="Arial" w:hAnsi="Arial" w:cs="Arial"/>
          <w:sz w:val="21"/>
          <w:szCs w:val="21"/>
        </w:rPr>
        <w:t xml:space="preserve"> che rimane unico e solo responsabile nei confronti di Coni Servizi delle prestazioni subappaltate.</w:t>
      </w:r>
    </w:p>
    <w:p w14:paraId="0531868D" w14:textId="218C5E5B"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Il </w:t>
      </w:r>
      <w:r w:rsidR="00FD204F">
        <w:rPr>
          <w:rFonts w:ascii="Arial" w:hAnsi="Arial" w:cs="Arial"/>
          <w:sz w:val="21"/>
          <w:szCs w:val="21"/>
        </w:rPr>
        <w:t>Fornitore</w:t>
      </w:r>
      <w:r w:rsidRPr="00D80149">
        <w:rPr>
          <w:rFonts w:ascii="Arial" w:hAnsi="Arial" w:cs="Arial"/>
          <w:sz w:val="21"/>
          <w:szCs w:val="21"/>
        </w:rPr>
        <w:t xml:space="preserve"> deve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580384B8" w14:textId="56842FF7"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L’affidamento in subappalto è sottoposto, ai sensi del richiamato art. 105 del </w:t>
      </w:r>
      <w:r w:rsidR="00E725F2">
        <w:rPr>
          <w:rFonts w:ascii="Arial" w:hAnsi="Arial" w:cs="Arial"/>
          <w:sz w:val="21"/>
          <w:szCs w:val="21"/>
        </w:rPr>
        <w:t>D.Lgs. 50/2016</w:t>
      </w:r>
      <w:r w:rsidRPr="00D80149">
        <w:rPr>
          <w:rFonts w:ascii="Arial" w:hAnsi="Arial" w:cs="Arial"/>
          <w:sz w:val="21"/>
          <w:szCs w:val="21"/>
        </w:rPr>
        <w:t>, alle seguenti condizioni:</w:t>
      </w:r>
    </w:p>
    <w:p w14:paraId="1A077B36" w14:textId="77777777" w:rsidR="00927AB0" w:rsidRPr="00D80149" w:rsidRDefault="00927AB0" w:rsidP="009B79FF">
      <w:pPr>
        <w:pStyle w:val="Paragrafoelenco"/>
        <w:numPr>
          <w:ilvl w:val="0"/>
          <w:numId w:val="13"/>
        </w:numPr>
        <w:spacing w:before="120" w:after="0" w:line="360" w:lineRule="auto"/>
        <w:ind w:left="709" w:hanging="349"/>
        <w:rPr>
          <w:rFonts w:ascii="Arial" w:hAnsi="Arial" w:cs="Arial"/>
          <w:sz w:val="21"/>
          <w:szCs w:val="21"/>
        </w:rPr>
      </w:pPr>
      <w:r w:rsidRPr="00D80149">
        <w:rPr>
          <w:rFonts w:ascii="Arial" w:hAnsi="Arial" w:cs="Arial"/>
          <w:sz w:val="21"/>
          <w:szCs w:val="21"/>
        </w:rPr>
        <w:t>l’Impresa concorrente deve aver indicato in fase di gara le attività e/o i servizi che intende subappaltare (in mancanza di tali indicazioni il successivo subappalto è vietato);</w:t>
      </w:r>
    </w:p>
    <w:p w14:paraId="2C0E7D77" w14:textId="7BAFD049" w:rsidR="00927AB0" w:rsidRPr="00D80149" w:rsidRDefault="00927AB0" w:rsidP="009B79FF">
      <w:pPr>
        <w:pStyle w:val="Paragrafoelenco"/>
        <w:numPr>
          <w:ilvl w:val="0"/>
          <w:numId w:val="13"/>
        </w:numPr>
        <w:spacing w:before="120" w:after="0" w:line="360" w:lineRule="auto"/>
        <w:ind w:left="709" w:hanging="349"/>
        <w:rPr>
          <w:rFonts w:ascii="Arial" w:hAnsi="Arial" w:cs="Arial"/>
          <w:sz w:val="21"/>
          <w:szCs w:val="21"/>
        </w:rPr>
      </w:pPr>
      <w:r w:rsidRPr="00D80149">
        <w:rPr>
          <w:rFonts w:ascii="Arial" w:hAnsi="Arial" w:cs="Arial"/>
          <w:sz w:val="21"/>
          <w:szCs w:val="21"/>
        </w:rPr>
        <w:t xml:space="preserve">dopo la stipula del contratto, il </w:t>
      </w:r>
      <w:r w:rsidR="00FD204F">
        <w:rPr>
          <w:rFonts w:ascii="Arial" w:hAnsi="Arial" w:cs="Arial"/>
          <w:sz w:val="21"/>
          <w:szCs w:val="21"/>
        </w:rPr>
        <w:t>Fornitore</w:t>
      </w:r>
      <w:r w:rsidRPr="00D80149">
        <w:rPr>
          <w:rFonts w:ascii="Arial" w:hAnsi="Arial" w:cs="Arial"/>
          <w:sz w:val="21"/>
          <w:szCs w:val="21"/>
        </w:rPr>
        <w:t xml:space="preserve"> deve depositare presso Coni Servizi l’originale o copia autentica del contratto di subappalto almeno venti giorni prima dell’inizio dell’esecuzione delle attività subappaltate;</w:t>
      </w:r>
    </w:p>
    <w:p w14:paraId="42F01692" w14:textId="7B588260" w:rsidR="00927AB0" w:rsidRPr="00D80149" w:rsidRDefault="00927AB0" w:rsidP="009B79FF">
      <w:pPr>
        <w:pStyle w:val="Paragrafoelenco"/>
        <w:numPr>
          <w:ilvl w:val="0"/>
          <w:numId w:val="13"/>
        </w:numPr>
        <w:spacing w:before="120" w:after="0" w:line="360" w:lineRule="auto"/>
        <w:ind w:left="709" w:hanging="349"/>
        <w:rPr>
          <w:rFonts w:ascii="Arial" w:hAnsi="Arial" w:cs="Arial"/>
          <w:sz w:val="21"/>
          <w:szCs w:val="21"/>
        </w:rPr>
      </w:pPr>
      <w:r w:rsidRPr="00D80149">
        <w:rPr>
          <w:rFonts w:ascii="Arial" w:hAnsi="Arial" w:cs="Arial"/>
          <w:sz w:val="21"/>
          <w:szCs w:val="21"/>
        </w:rPr>
        <w:t xml:space="preserve">il Fornitore, unitamente al contratto di subappalto di cui sopra, ai sensi dell’art. 105, commi 7 e 18, del </w:t>
      </w:r>
      <w:r w:rsidR="00E725F2">
        <w:rPr>
          <w:rFonts w:ascii="Arial" w:hAnsi="Arial" w:cs="Arial"/>
          <w:sz w:val="21"/>
          <w:szCs w:val="21"/>
        </w:rPr>
        <w:t>D.Lgs. 50/2016</w:t>
      </w:r>
      <w:r w:rsidRPr="00D80149">
        <w:rPr>
          <w:rFonts w:ascii="Arial" w:hAnsi="Arial" w:cs="Arial"/>
          <w:sz w:val="21"/>
          <w:szCs w:val="21"/>
        </w:rPr>
        <w:t>, deve produrre:</w:t>
      </w:r>
    </w:p>
    <w:p w14:paraId="0F9EBECD" w14:textId="1926759E" w:rsidR="00927AB0" w:rsidRPr="00D80149" w:rsidRDefault="00927AB0" w:rsidP="009B79FF">
      <w:pPr>
        <w:pStyle w:val="Paragrafoelenco"/>
        <w:numPr>
          <w:ilvl w:val="0"/>
          <w:numId w:val="14"/>
        </w:numPr>
        <w:spacing w:before="120" w:after="0" w:line="360" w:lineRule="auto"/>
        <w:ind w:left="1414" w:hanging="334"/>
        <w:rPr>
          <w:rFonts w:ascii="Arial" w:eastAsia="Times New Roman" w:hAnsi="Arial" w:cs="Arial"/>
          <w:sz w:val="21"/>
          <w:szCs w:val="21"/>
        </w:rPr>
      </w:pPr>
      <w:r w:rsidRPr="00D80149">
        <w:rPr>
          <w:rFonts w:ascii="Arial" w:hAnsi="Arial" w:cs="Arial"/>
          <w:sz w:val="21"/>
          <w:szCs w:val="21"/>
        </w:rPr>
        <w:t xml:space="preserve">la dichiarazione in formato elettronico relativa alla sussistenza o meno di eventuali forme di controllo o collegamento a norma dell’art. 2359 c.c. con l’Impresa subappaltatrice. Nel caso in cui il </w:t>
      </w:r>
      <w:r w:rsidR="00FD204F">
        <w:rPr>
          <w:rFonts w:ascii="Arial" w:hAnsi="Arial" w:cs="Arial"/>
          <w:sz w:val="21"/>
          <w:szCs w:val="21"/>
        </w:rPr>
        <w:t>Fornitore</w:t>
      </w:r>
      <w:r w:rsidRPr="00D80149">
        <w:rPr>
          <w:rFonts w:ascii="Arial" w:hAnsi="Arial" w:cs="Arial"/>
          <w:sz w:val="21"/>
          <w:szCs w:val="21"/>
        </w:rPr>
        <w:t xml:space="preserve"> sia un consorzio, analoga dichiarazione deve essere prodotta da ciascuna delle I</w:t>
      </w:r>
      <w:r w:rsidRPr="00D80149">
        <w:rPr>
          <w:rFonts w:ascii="Arial" w:eastAsia="Times New Roman" w:hAnsi="Arial" w:cs="Arial"/>
          <w:sz w:val="21"/>
          <w:szCs w:val="21"/>
        </w:rPr>
        <w:t>mprese facenti parte del consorzio;</w:t>
      </w:r>
    </w:p>
    <w:p w14:paraId="580A7731" w14:textId="33F05138" w:rsidR="00927AB0" w:rsidRPr="00D80149" w:rsidRDefault="00927AB0" w:rsidP="009B79FF">
      <w:pPr>
        <w:pStyle w:val="Paragrafoelenco"/>
        <w:numPr>
          <w:ilvl w:val="0"/>
          <w:numId w:val="14"/>
        </w:numPr>
        <w:spacing w:before="120" w:after="0" w:line="360" w:lineRule="auto"/>
        <w:ind w:left="1414" w:hanging="334"/>
        <w:rPr>
          <w:rFonts w:ascii="Arial" w:hAnsi="Arial" w:cs="Arial"/>
          <w:sz w:val="21"/>
          <w:szCs w:val="21"/>
        </w:rPr>
      </w:pPr>
      <w:r w:rsidRPr="00D80149">
        <w:rPr>
          <w:rFonts w:ascii="Arial" w:hAnsi="Arial" w:cs="Arial"/>
          <w:sz w:val="21"/>
          <w:szCs w:val="21"/>
        </w:rPr>
        <w:t xml:space="preserve">la dichiarazione del subappaltatore attestante l'assenza dei motivi di esclusione di cui all’art. 80 del </w:t>
      </w:r>
      <w:r w:rsidR="00E725F2">
        <w:rPr>
          <w:rFonts w:ascii="Arial" w:hAnsi="Arial" w:cs="Arial"/>
          <w:sz w:val="21"/>
          <w:szCs w:val="21"/>
        </w:rPr>
        <w:t>D.Lgs. 50/2016</w:t>
      </w:r>
      <w:r w:rsidRPr="00D80149">
        <w:rPr>
          <w:rFonts w:ascii="Arial" w:hAnsi="Arial" w:cs="Arial"/>
          <w:sz w:val="21"/>
          <w:szCs w:val="21"/>
        </w:rPr>
        <w:t>.</w:t>
      </w:r>
    </w:p>
    <w:p w14:paraId="248B7FE6" w14:textId="22122AEA"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Coni Servizi provvederà ai sensi di quanto previsto dall’art. 105, comma 13, del </w:t>
      </w:r>
      <w:r w:rsidR="00E725F2">
        <w:rPr>
          <w:rFonts w:ascii="Arial" w:hAnsi="Arial" w:cs="Arial"/>
          <w:sz w:val="21"/>
          <w:szCs w:val="21"/>
        </w:rPr>
        <w:t>D.Lgs. 50/2016</w:t>
      </w:r>
      <w:r w:rsidRPr="00D80149">
        <w:rPr>
          <w:rFonts w:ascii="Arial" w:hAnsi="Arial" w:cs="Arial"/>
          <w:sz w:val="21"/>
          <w:szCs w:val="21"/>
        </w:rPr>
        <w:t xml:space="preserve">, a corrispondere direttamente al subappaltatore, al cottimista, al prestatore di servizi ed al </w:t>
      </w:r>
      <w:r w:rsidR="00FD204F">
        <w:rPr>
          <w:rFonts w:ascii="Arial" w:hAnsi="Arial" w:cs="Arial"/>
          <w:sz w:val="21"/>
          <w:szCs w:val="21"/>
        </w:rPr>
        <w:t>Fornitore</w:t>
      </w:r>
      <w:r w:rsidRPr="00D80149">
        <w:rPr>
          <w:rFonts w:ascii="Arial" w:hAnsi="Arial" w:cs="Arial"/>
          <w:sz w:val="21"/>
          <w:szCs w:val="21"/>
        </w:rPr>
        <w:t xml:space="preserve"> di beni o lavori, l'importo dovuto per le prestazioni dagli stessi eseguite nelle fattispecie previste nella stessa norma. In tal caso, il </w:t>
      </w:r>
      <w:r w:rsidR="00FD204F">
        <w:rPr>
          <w:rFonts w:ascii="Arial" w:hAnsi="Arial" w:cs="Arial"/>
          <w:sz w:val="21"/>
          <w:szCs w:val="21"/>
        </w:rPr>
        <w:t>Fornitore</w:t>
      </w:r>
      <w:r w:rsidRPr="00D80149">
        <w:rPr>
          <w:rFonts w:ascii="Arial" w:hAnsi="Arial" w:cs="Arial"/>
          <w:sz w:val="21"/>
          <w:szCs w:val="21"/>
        </w:rPr>
        <w:t xml:space="preserve"> deve comunicare a Coni Servizi la parte delle prestazioni eseguite dal subappaltatore, con la specificazione del relativo importo e con proposta motivata di pagamento.</w:t>
      </w:r>
    </w:p>
    <w:p w14:paraId="16B66004" w14:textId="11F9132C"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Nella contrattazione e nella stipula del contratto di subappalto il </w:t>
      </w:r>
      <w:r w:rsidR="00FD204F">
        <w:rPr>
          <w:rFonts w:ascii="Arial" w:hAnsi="Arial" w:cs="Arial"/>
          <w:sz w:val="21"/>
          <w:szCs w:val="21"/>
        </w:rPr>
        <w:t>Fornitore</w:t>
      </w:r>
      <w:r w:rsidRPr="00D80149">
        <w:rPr>
          <w:rFonts w:ascii="Arial" w:hAnsi="Arial" w:cs="Arial"/>
          <w:sz w:val="21"/>
          <w:szCs w:val="21"/>
        </w:rPr>
        <w:t xml:space="preserve"> prenderà attentamente in considerazione e pondererà in maniera adeguata le condizioni ed i termini di pagamento stabiliti indicati da Coni Servizi.</w:t>
      </w:r>
    </w:p>
    <w:p w14:paraId="6D8E3B8A" w14:textId="791EFE74"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lastRenderedPageBreak/>
        <w:t xml:space="preserve">Il </w:t>
      </w:r>
      <w:r w:rsidR="00FD204F">
        <w:rPr>
          <w:rFonts w:ascii="Arial" w:hAnsi="Arial" w:cs="Arial"/>
          <w:sz w:val="21"/>
          <w:szCs w:val="21"/>
        </w:rPr>
        <w:t>Fornitore</w:t>
      </w:r>
      <w:r w:rsidRPr="00D80149">
        <w:rPr>
          <w:rFonts w:ascii="Arial" w:hAnsi="Arial" w:cs="Arial"/>
          <w:sz w:val="21"/>
          <w:szCs w:val="21"/>
        </w:rPr>
        <w:t xml:space="preserve"> deve provvedere a sostituire i subappaltatori relativamente ai quali apposita verifica abbia dimostrato la sussistenza dei motivi di esclusione di cui all’art. 80 del </w:t>
      </w:r>
      <w:r w:rsidR="00E725F2">
        <w:rPr>
          <w:rFonts w:ascii="Arial" w:hAnsi="Arial" w:cs="Arial"/>
          <w:sz w:val="21"/>
          <w:szCs w:val="21"/>
        </w:rPr>
        <w:t>D.Lgs. 50/2016</w:t>
      </w:r>
      <w:r w:rsidRPr="00D80149">
        <w:rPr>
          <w:rFonts w:ascii="Arial" w:hAnsi="Arial" w:cs="Arial"/>
          <w:sz w:val="21"/>
          <w:szCs w:val="21"/>
        </w:rPr>
        <w:t>.</w:t>
      </w:r>
    </w:p>
    <w:p w14:paraId="048EFEEB" w14:textId="225AEAF9"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Si applicano, in quanto compatibili, le altre disposizioni dell’art. 105 del </w:t>
      </w:r>
      <w:r w:rsidR="00E725F2">
        <w:rPr>
          <w:rFonts w:ascii="Arial" w:hAnsi="Arial" w:cs="Arial"/>
          <w:sz w:val="21"/>
          <w:szCs w:val="21"/>
        </w:rPr>
        <w:t>D.Lgs. 50/2016</w:t>
      </w:r>
      <w:r w:rsidRPr="00D80149">
        <w:rPr>
          <w:rFonts w:ascii="Arial" w:hAnsi="Arial" w:cs="Arial"/>
          <w:sz w:val="21"/>
          <w:szCs w:val="21"/>
        </w:rPr>
        <w:t>.</w:t>
      </w:r>
    </w:p>
    <w:p w14:paraId="7CD6327E"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7" w:name="_Toc402349479"/>
      <w:bookmarkStart w:id="58" w:name="_Toc478649495"/>
      <w:r w:rsidRPr="00D80149">
        <w:rPr>
          <w:rFonts w:ascii="Arial" w:hAnsi="Arial" w:cs="Arial"/>
          <w:b/>
          <w:color w:val="1F497D"/>
          <w:sz w:val="21"/>
          <w:szCs w:val="21"/>
        </w:rPr>
        <w:t>PENALI</w:t>
      </w:r>
      <w:bookmarkEnd w:id="57"/>
      <w:bookmarkEnd w:id="58"/>
    </w:p>
    <w:p w14:paraId="405C03A9" w14:textId="77777777" w:rsidR="00927AB0" w:rsidRPr="00D80149" w:rsidRDefault="00927AB0" w:rsidP="009B79FF">
      <w:pPr>
        <w:tabs>
          <w:tab w:val="left" w:pos="360"/>
        </w:tabs>
        <w:spacing w:before="120" w:after="0" w:line="360" w:lineRule="auto"/>
        <w:rPr>
          <w:rFonts w:ascii="Arial" w:hAnsi="Arial" w:cs="Arial"/>
          <w:sz w:val="21"/>
          <w:szCs w:val="21"/>
        </w:rPr>
      </w:pPr>
      <w:r w:rsidRPr="00D80149">
        <w:rPr>
          <w:rFonts w:ascii="Arial" w:hAnsi="Arial" w:cs="Arial"/>
          <w:sz w:val="21"/>
          <w:szCs w:val="21"/>
        </w:rPr>
        <w:t>Coni Servizi ha la facoltà di applicare penali in caso di violazione degli obblighi contrattuali le seguenti penali:</w:t>
      </w:r>
    </w:p>
    <w:p w14:paraId="250535D9" w14:textId="71D928C0"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in caso di ritardo nel completamento delle </w:t>
      </w:r>
      <w:r w:rsidR="00175678">
        <w:rPr>
          <w:rFonts w:ascii="Arial" w:hAnsi="Arial" w:cs="Arial"/>
          <w:sz w:val="21"/>
          <w:szCs w:val="21"/>
        </w:rPr>
        <w:t xml:space="preserve">consegne dei report </w:t>
      </w:r>
      <w:r w:rsidRPr="00D80149">
        <w:rPr>
          <w:rFonts w:ascii="Arial" w:hAnsi="Arial" w:cs="Arial"/>
          <w:sz w:val="21"/>
          <w:szCs w:val="21"/>
        </w:rPr>
        <w:t>rispetto al</w:t>
      </w:r>
      <w:r w:rsidR="00175678">
        <w:rPr>
          <w:rFonts w:ascii="Arial" w:hAnsi="Arial" w:cs="Arial"/>
          <w:sz w:val="21"/>
          <w:szCs w:val="21"/>
        </w:rPr>
        <w:t>le scadenze fissate</w:t>
      </w:r>
      <w:r w:rsidRPr="00D80149">
        <w:rPr>
          <w:rFonts w:ascii="Arial" w:hAnsi="Arial" w:cs="Arial"/>
          <w:sz w:val="21"/>
          <w:szCs w:val="21"/>
        </w:rPr>
        <w:t xml:space="preserve"> al precedente paragrafo </w:t>
      </w:r>
      <w:r w:rsidR="00175678">
        <w:rPr>
          <w:rFonts w:ascii="Arial" w:hAnsi="Arial" w:cs="Arial"/>
          <w:sz w:val="21"/>
          <w:szCs w:val="21"/>
        </w:rPr>
        <w:t>3</w:t>
      </w:r>
      <w:r w:rsidRPr="00D80149">
        <w:rPr>
          <w:rFonts w:ascii="Arial" w:hAnsi="Arial" w:cs="Arial"/>
          <w:sz w:val="21"/>
          <w:szCs w:val="21"/>
        </w:rPr>
        <w:t xml:space="preserve">: il </w:t>
      </w:r>
      <w:r w:rsidR="00FD204F">
        <w:rPr>
          <w:rFonts w:ascii="Arial" w:hAnsi="Arial" w:cs="Arial"/>
          <w:sz w:val="21"/>
          <w:szCs w:val="21"/>
        </w:rPr>
        <w:t>Fornitore</w:t>
      </w:r>
      <w:r w:rsidRPr="00D80149">
        <w:rPr>
          <w:rFonts w:ascii="Arial" w:hAnsi="Arial" w:cs="Arial"/>
          <w:sz w:val="21"/>
          <w:szCs w:val="21"/>
        </w:rPr>
        <w:t xml:space="preserve"> incorrerà in una penale pari al 2% del valore del contratto per ogni giorno lavorativo di ritardo rispetto al</w:t>
      </w:r>
      <w:r w:rsidR="00175678">
        <w:rPr>
          <w:rFonts w:ascii="Arial" w:hAnsi="Arial" w:cs="Arial"/>
          <w:sz w:val="21"/>
          <w:szCs w:val="21"/>
        </w:rPr>
        <w:t xml:space="preserve">le scadenze </w:t>
      </w:r>
      <w:r w:rsidRPr="00D80149">
        <w:rPr>
          <w:rFonts w:ascii="Arial" w:hAnsi="Arial" w:cs="Arial"/>
          <w:sz w:val="21"/>
          <w:szCs w:val="21"/>
        </w:rPr>
        <w:t>fissat</w:t>
      </w:r>
      <w:r w:rsidR="00175678">
        <w:rPr>
          <w:rFonts w:ascii="Arial" w:hAnsi="Arial" w:cs="Arial"/>
          <w:sz w:val="21"/>
          <w:szCs w:val="21"/>
        </w:rPr>
        <w:t>e</w:t>
      </w:r>
      <w:r w:rsidRPr="00D80149">
        <w:rPr>
          <w:rFonts w:ascii="Arial" w:hAnsi="Arial" w:cs="Arial"/>
          <w:sz w:val="21"/>
          <w:szCs w:val="21"/>
        </w:rPr>
        <w:t xml:space="preserve"> al precedente paragrafo </w:t>
      </w:r>
      <w:r w:rsidR="00175678">
        <w:rPr>
          <w:rFonts w:ascii="Arial" w:hAnsi="Arial" w:cs="Arial"/>
          <w:sz w:val="21"/>
          <w:szCs w:val="21"/>
        </w:rPr>
        <w:t>3;</w:t>
      </w:r>
    </w:p>
    <w:p w14:paraId="53EF9C4C" w14:textId="27ACA2AC"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sz w:val="21"/>
          <w:szCs w:val="21"/>
        </w:rPr>
        <w:t xml:space="preserve">Penale per mancata esibizione di fotocopia (eventualmente cancellata di alcuni dati), dell’ultimo cedolino dello stipendio o del contratto legalmente valido che dimostrino il vincolo da lavoro dipendente o da contratto tra le risorse componenti il </w:t>
      </w:r>
      <w:r w:rsidR="00175678">
        <w:rPr>
          <w:rFonts w:ascii="Arial" w:hAnsi="Arial" w:cs="Arial"/>
          <w:sz w:val="21"/>
          <w:szCs w:val="21"/>
        </w:rPr>
        <w:t>Team di servizio</w:t>
      </w:r>
      <w:r w:rsidRPr="00D80149">
        <w:rPr>
          <w:rFonts w:ascii="Arial" w:hAnsi="Arial" w:cs="Arial"/>
          <w:sz w:val="21"/>
          <w:szCs w:val="21"/>
        </w:rPr>
        <w:t xml:space="preserve"> ed il </w:t>
      </w:r>
      <w:r w:rsidR="00FD204F">
        <w:rPr>
          <w:rFonts w:ascii="Arial" w:hAnsi="Arial" w:cs="Arial"/>
          <w:sz w:val="21"/>
          <w:szCs w:val="21"/>
        </w:rPr>
        <w:t>Fornitore</w:t>
      </w:r>
      <w:r w:rsidRPr="00D80149">
        <w:rPr>
          <w:rFonts w:ascii="Arial" w:hAnsi="Arial" w:cs="Arial"/>
          <w:sz w:val="21"/>
          <w:szCs w:val="21"/>
        </w:rPr>
        <w:t xml:space="preserve">: il </w:t>
      </w:r>
      <w:r w:rsidR="00FD204F">
        <w:rPr>
          <w:rFonts w:ascii="Arial" w:hAnsi="Arial" w:cs="Arial"/>
          <w:sz w:val="21"/>
          <w:szCs w:val="21"/>
        </w:rPr>
        <w:t>Fornitore</w:t>
      </w:r>
      <w:r w:rsidRPr="00D80149">
        <w:rPr>
          <w:rFonts w:ascii="Arial" w:hAnsi="Arial" w:cs="Arial"/>
          <w:sz w:val="21"/>
          <w:szCs w:val="21"/>
        </w:rPr>
        <w:t xml:space="preserve"> incorrerà in una penale pari a € 50,00 per ogni giorno lavorativo di ritardo rispetto al termine stabilito al precedente paragrafo </w:t>
      </w:r>
      <w:r w:rsidR="003A74F8">
        <w:rPr>
          <w:rFonts w:ascii="Arial" w:hAnsi="Arial" w:cs="Arial"/>
          <w:sz w:val="21"/>
          <w:szCs w:val="21"/>
        </w:rPr>
        <w:t>4</w:t>
      </w:r>
      <w:r w:rsidRPr="00D80149">
        <w:rPr>
          <w:rFonts w:ascii="Arial" w:hAnsi="Arial" w:cs="Arial"/>
          <w:sz w:val="21"/>
          <w:szCs w:val="21"/>
        </w:rPr>
        <w:t>;</w:t>
      </w:r>
    </w:p>
    <w:p w14:paraId="2A4C00FA" w14:textId="023975FA"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sz w:val="21"/>
          <w:szCs w:val="21"/>
        </w:rPr>
        <w:t xml:space="preserve">Penale per avvicendamento personale che compone il </w:t>
      </w:r>
      <w:r w:rsidR="00175678">
        <w:rPr>
          <w:rFonts w:ascii="Arial" w:hAnsi="Arial" w:cs="Arial"/>
          <w:sz w:val="21"/>
          <w:szCs w:val="21"/>
        </w:rPr>
        <w:t>Team di servizio</w:t>
      </w:r>
      <w:r w:rsidRPr="00D80149">
        <w:rPr>
          <w:rFonts w:ascii="Arial" w:hAnsi="Arial" w:cs="Arial"/>
          <w:sz w:val="21"/>
          <w:szCs w:val="21"/>
        </w:rPr>
        <w:t xml:space="preserve"> senza preventiva autorizzazione da parte del Responsabile del procedimento per la fase di esecuzione del contratto: il </w:t>
      </w:r>
      <w:r w:rsidR="00FD204F">
        <w:rPr>
          <w:rFonts w:ascii="Arial" w:hAnsi="Arial" w:cs="Arial"/>
          <w:sz w:val="21"/>
          <w:szCs w:val="21"/>
        </w:rPr>
        <w:t>Fornitore</w:t>
      </w:r>
      <w:r w:rsidRPr="00D80149">
        <w:rPr>
          <w:rFonts w:ascii="Arial" w:hAnsi="Arial" w:cs="Arial"/>
          <w:sz w:val="21"/>
          <w:szCs w:val="21"/>
        </w:rPr>
        <w:t xml:space="preserve"> incorrerà in una penale pari a € 1.000,00;</w:t>
      </w:r>
    </w:p>
    <w:p w14:paraId="40CE49D7" w14:textId="27E4C36B"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per mancata sostituzione di una risorsa non gradita: il </w:t>
      </w:r>
      <w:r w:rsidR="00FD204F">
        <w:rPr>
          <w:rFonts w:ascii="Arial" w:hAnsi="Arial" w:cs="Arial"/>
          <w:sz w:val="21"/>
          <w:szCs w:val="21"/>
        </w:rPr>
        <w:t>Fornitore</w:t>
      </w:r>
      <w:r w:rsidRPr="00D80149">
        <w:rPr>
          <w:rFonts w:ascii="Arial" w:hAnsi="Arial" w:cs="Arial"/>
          <w:sz w:val="21"/>
          <w:szCs w:val="21"/>
        </w:rPr>
        <w:t xml:space="preserve"> incorrerà in una penale pari a € 200,00 per ogni giorno lavorativo di ritardo nella sostituzione di una risorsa non gradita rispetto al termine previsto nel paragrafo </w:t>
      </w:r>
      <w:r w:rsidR="003A74F8">
        <w:rPr>
          <w:rFonts w:ascii="Arial" w:hAnsi="Arial" w:cs="Arial"/>
          <w:sz w:val="21"/>
          <w:szCs w:val="21"/>
        </w:rPr>
        <w:t>4</w:t>
      </w:r>
      <w:r w:rsidRPr="00D80149">
        <w:rPr>
          <w:rFonts w:ascii="Arial" w:hAnsi="Arial" w:cs="Arial"/>
          <w:sz w:val="21"/>
          <w:szCs w:val="21"/>
        </w:rPr>
        <w:t>;</w:t>
      </w:r>
    </w:p>
    <w:p w14:paraId="44F3A0D6" w14:textId="524790D3"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per mancato affiancamento di una risorsa entrante: il </w:t>
      </w:r>
      <w:r w:rsidR="00FD204F">
        <w:rPr>
          <w:rFonts w:ascii="Arial" w:hAnsi="Arial" w:cs="Arial"/>
          <w:sz w:val="21"/>
          <w:szCs w:val="21"/>
        </w:rPr>
        <w:t>Fornitore</w:t>
      </w:r>
      <w:r w:rsidRPr="00D80149">
        <w:rPr>
          <w:rFonts w:ascii="Arial" w:hAnsi="Arial" w:cs="Arial"/>
          <w:sz w:val="21"/>
          <w:szCs w:val="21"/>
        </w:rPr>
        <w:t xml:space="preserve"> incorrerà in una penale pari a € 100,00 per ogni giorno lavorativo di mancato affiancamento tra la risorsa uscente e quella entrante;</w:t>
      </w:r>
    </w:p>
    <w:p w14:paraId="516E0284" w14:textId="77777777"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Per ogni altra inadempienza riconducibile a singole prestazioni non effettuate, effettuate in ritardo e/o non conformi a quanto stabilito nel presente Capitolato e negli altri documenti di gara, Coni Servizi applicherà una penale il cui importo può variare da € 200,00 (duecento/00) fino a 5.000,00 (cinquemila/00) secondo la gravità, discrezionalmente valutata. </w:t>
      </w:r>
    </w:p>
    <w:p w14:paraId="04635474" w14:textId="705D0B70"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Nei casi sopra previsti Coni Servizi procederà a formulare contestazione dell'inadempienza per iscritto (via PEC), assegnando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un termine di 5 giorni per la presentazione delle proprie controdeduzioni; entro i successivi 10 giorni dalla data di ricezione delle predette controdeduzioni, Coni </w:t>
      </w:r>
      <w:r w:rsidRPr="00D80149">
        <w:rPr>
          <w:rFonts w:ascii="Arial" w:hAnsi="Arial" w:cs="Arial"/>
          <w:bCs/>
          <w:iCs/>
          <w:sz w:val="21"/>
          <w:szCs w:val="21"/>
          <w:lang w:eastAsia="it-IT"/>
        </w:rPr>
        <w:lastRenderedPageBreak/>
        <w:t xml:space="preserve">Servizi adotterà le determinazioni di propria competenza, dandone comunicazione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Coni Servizi può compensare i crediti derivanti dall’applicazione delle penali con quanto dovuto a qualsiasi titolo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ovvero avvalersi della garanzia definitiva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w:t>
      </w:r>
    </w:p>
    <w:p w14:paraId="71AB9917" w14:textId="7FE8C70E"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Qualora su base mensile il numero degli inadempimenti contestati dovesse superare il limite massimo del 10% dell'importo contrattuale, Coni Servizi può risolvere il contratto ed effettuare i servizi in danno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inadempiente, fermo restando il diritto di rivalersi sulla garanzia definitiva, e di esercitare ogni altra azione tendente al risarcimento di eventuali danni.</w:t>
      </w:r>
    </w:p>
    <w:p w14:paraId="5F1CF4F9"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9" w:name="_Toc402349482"/>
      <w:bookmarkStart w:id="60" w:name="_Toc478649496"/>
      <w:r w:rsidRPr="00D80149">
        <w:rPr>
          <w:rFonts w:ascii="Arial" w:hAnsi="Arial" w:cs="Arial"/>
          <w:b/>
          <w:color w:val="1F497D"/>
          <w:sz w:val="21"/>
          <w:szCs w:val="21"/>
        </w:rPr>
        <w:t>FATTURAZIONE E PAGAMENTI</w:t>
      </w:r>
      <w:bookmarkEnd w:id="59"/>
      <w:bookmarkEnd w:id="60"/>
    </w:p>
    <w:p w14:paraId="74EEEAC4" w14:textId="77777777" w:rsidR="00CF6766" w:rsidRDefault="00D60829" w:rsidP="009B79FF">
      <w:pPr>
        <w:pStyle w:val="CorpoA"/>
        <w:spacing w:before="120" w:after="0" w:line="360" w:lineRule="auto"/>
        <w:rPr>
          <w:rFonts w:ascii="Arial" w:hAnsi="Arial" w:cs="Arial"/>
          <w:color w:val="auto"/>
        </w:rPr>
      </w:pPr>
      <w:r>
        <w:rPr>
          <w:rFonts w:ascii="Arial" w:hAnsi="Arial" w:cs="Arial"/>
          <w:color w:val="auto"/>
        </w:rPr>
        <w:t>Il pagamento dell’importo contrattuale avverrà secondo la seguente fatturazione:</w:t>
      </w:r>
    </w:p>
    <w:p w14:paraId="0CB15A24" w14:textId="759D1F67" w:rsidR="00D60829" w:rsidRDefault="00E65124" w:rsidP="009B79FF">
      <w:pPr>
        <w:pStyle w:val="CorpoA"/>
        <w:numPr>
          <w:ilvl w:val="0"/>
          <w:numId w:val="27"/>
        </w:numPr>
        <w:spacing w:before="120" w:after="0" w:line="360" w:lineRule="auto"/>
        <w:rPr>
          <w:rFonts w:ascii="Arial" w:hAnsi="Arial" w:cs="Arial"/>
          <w:color w:val="auto"/>
        </w:rPr>
      </w:pPr>
      <w:r>
        <w:rPr>
          <w:rFonts w:ascii="Arial" w:hAnsi="Arial" w:cs="Arial"/>
          <w:color w:val="auto"/>
        </w:rPr>
        <w:t>Il 40% dell’importo dovrà essere</w:t>
      </w:r>
      <w:r w:rsidR="00D60829">
        <w:rPr>
          <w:rFonts w:ascii="Arial" w:hAnsi="Arial" w:cs="Arial"/>
          <w:color w:val="auto"/>
        </w:rPr>
        <w:t xml:space="preserve"> fatturato </w:t>
      </w:r>
      <w:r w:rsidR="007C182F">
        <w:rPr>
          <w:rFonts w:ascii="Arial" w:hAnsi="Arial" w:cs="Arial"/>
          <w:color w:val="auto"/>
        </w:rPr>
        <w:t>entro sei mesi dalla stipula del contratto</w:t>
      </w:r>
      <w:r>
        <w:rPr>
          <w:rFonts w:ascii="Arial" w:hAnsi="Arial" w:cs="Arial"/>
          <w:color w:val="auto"/>
        </w:rPr>
        <w:t>;</w:t>
      </w:r>
    </w:p>
    <w:p w14:paraId="663E6C5D" w14:textId="57C43CD3" w:rsidR="00E65124" w:rsidRPr="00E65124" w:rsidRDefault="00D60829" w:rsidP="009B79FF">
      <w:pPr>
        <w:pStyle w:val="CorpoA"/>
        <w:numPr>
          <w:ilvl w:val="0"/>
          <w:numId w:val="27"/>
        </w:numPr>
        <w:spacing w:before="120" w:after="0" w:line="360" w:lineRule="auto"/>
        <w:rPr>
          <w:rFonts w:ascii="Arial" w:eastAsia="Arial Bold" w:hAnsi="Arial" w:cs="Arial"/>
          <w:color w:val="auto"/>
        </w:rPr>
      </w:pPr>
      <w:r>
        <w:rPr>
          <w:rFonts w:ascii="Arial" w:hAnsi="Arial" w:cs="Arial"/>
          <w:color w:val="auto"/>
        </w:rPr>
        <w:t xml:space="preserve">Il restante 60% dell’importo </w:t>
      </w:r>
      <w:r w:rsidR="00E65124">
        <w:rPr>
          <w:rFonts w:ascii="Arial" w:hAnsi="Arial" w:cs="Arial"/>
          <w:color w:val="auto"/>
        </w:rPr>
        <w:t xml:space="preserve">dovrà essere fatturato </w:t>
      </w:r>
      <w:r w:rsidR="007C182F">
        <w:rPr>
          <w:rFonts w:ascii="Arial" w:hAnsi="Arial" w:cs="Arial"/>
          <w:color w:val="auto"/>
        </w:rPr>
        <w:t>entro sessanta giorni d</w:t>
      </w:r>
      <w:r w:rsidR="00E65124">
        <w:rPr>
          <w:rFonts w:ascii="Arial" w:hAnsi="Arial" w:cs="Arial"/>
          <w:color w:val="auto"/>
        </w:rPr>
        <w:t>al termine del contratto.</w:t>
      </w:r>
    </w:p>
    <w:p w14:paraId="7141C24E" w14:textId="6D7AEDE7"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Il pagamento verrà effettuato entro 60 giorni dalla data di emissione della relativa fattura.</w:t>
      </w:r>
      <w:r w:rsidRPr="00D80149" w:rsidDel="00D55A0B">
        <w:rPr>
          <w:rFonts w:ascii="Arial" w:hAnsi="Arial" w:cs="Arial"/>
          <w:sz w:val="21"/>
          <w:szCs w:val="21"/>
        </w:rPr>
        <w:t xml:space="preserve"> </w:t>
      </w:r>
      <w:r w:rsidRPr="00D80149">
        <w:rPr>
          <w:rFonts w:ascii="Arial" w:hAnsi="Arial" w:cs="Arial"/>
          <w:sz w:val="21"/>
          <w:szCs w:val="21"/>
        </w:rPr>
        <w:t xml:space="preserve">Il pagamento, al fine di assicurare la tracciabilità dei movimenti finanziari, ai sensi e per gli effetti dell’art. 3 della Legge n. 136/2010 e s.m.i. (“Piano straordinario contro le mafie e delega al Governo in materia di normativa antimafia”), sarà effettuato esclusivamente tramite lo strumento del bonifico bancario sul conto corrente bancario o postale dedicato indicato dal </w:t>
      </w:r>
      <w:r w:rsidR="00FD204F">
        <w:rPr>
          <w:rFonts w:ascii="Arial" w:hAnsi="Arial" w:cs="Arial"/>
          <w:sz w:val="21"/>
          <w:szCs w:val="21"/>
        </w:rPr>
        <w:t>Fornitore</w:t>
      </w:r>
      <w:r w:rsidRPr="00D80149">
        <w:rPr>
          <w:rFonts w:ascii="Arial" w:hAnsi="Arial" w:cs="Arial"/>
          <w:sz w:val="21"/>
          <w:szCs w:val="21"/>
        </w:rPr>
        <w:t xml:space="preserve">. </w:t>
      </w:r>
    </w:p>
    <w:p w14:paraId="02C81D94" w14:textId="77777777"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In ottemperanza al D.M. n. 55 del 3 aprile 2013, la fattura deve essere trasmessa esclusivamente in modalità elettronica, secondo il formato di cui all’allegato A “Formato della fattura elettronica” del citato DM n. 55/2013.</w:t>
      </w:r>
    </w:p>
    <w:p w14:paraId="52237854" w14:textId="22E4B5D3" w:rsidR="00927AB0" w:rsidRPr="00D80149" w:rsidRDefault="00927AB0" w:rsidP="009B79FF">
      <w:pPr>
        <w:tabs>
          <w:tab w:val="left" w:pos="0"/>
        </w:tabs>
        <w:spacing w:before="120" w:after="0" w:line="360" w:lineRule="auto"/>
        <w:rPr>
          <w:rFonts w:ascii="Arial" w:hAnsi="Arial" w:cs="Arial"/>
          <w:sz w:val="21"/>
          <w:szCs w:val="21"/>
        </w:rPr>
      </w:pPr>
      <w:r w:rsidRPr="00E65124">
        <w:rPr>
          <w:rFonts w:ascii="Arial" w:hAnsi="Arial" w:cs="Arial"/>
          <w:sz w:val="21"/>
          <w:szCs w:val="21"/>
        </w:rPr>
        <w:t xml:space="preserve">Il </w:t>
      </w:r>
      <w:r w:rsidR="00E725F2" w:rsidRPr="00E65124">
        <w:rPr>
          <w:rFonts w:ascii="Arial" w:hAnsi="Arial" w:cs="Arial"/>
          <w:sz w:val="21"/>
          <w:szCs w:val="21"/>
        </w:rPr>
        <w:t>D.Lgs. 50/2016</w:t>
      </w:r>
      <w:r w:rsidRPr="00E65124">
        <w:rPr>
          <w:rFonts w:ascii="Arial" w:hAnsi="Arial" w:cs="Arial"/>
          <w:sz w:val="21"/>
          <w:szCs w:val="21"/>
        </w:rPr>
        <w:t xml:space="preserve"> Univoco Ufficio assegnato dall'I.P.A. (</w:t>
      </w:r>
      <w:hyperlink r:id="rId8" w:history="1">
        <w:r w:rsidRPr="00E65124">
          <w:rPr>
            <w:rFonts w:ascii="Arial" w:hAnsi="Arial" w:cs="Arial"/>
            <w:sz w:val="21"/>
            <w:szCs w:val="21"/>
          </w:rPr>
          <w:t>www.indicepa.gov.it</w:t>
        </w:r>
      </w:hyperlink>
      <w:r w:rsidRPr="00E65124">
        <w:rPr>
          <w:rFonts w:ascii="Arial" w:hAnsi="Arial" w:cs="Arial"/>
          <w:sz w:val="21"/>
          <w:szCs w:val="21"/>
        </w:rPr>
        <w:t>) a questa Stazione Appaltante, da inserire obbligatoriamente nell’elemento del tracciato della fattura elettronica denominato “</w:t>
      </w:r>
      <w:r w:rsidR="00E725F2" w:rsidRPr="00E65124">
        <w:rPr>
          <w:rFonts w:ascii="Arial" w:hAnsi="Arial" w:cs="Arial"/>
          <w:sz w:val="21"/>
          <w:szCs w:val="21"/>
        </w:rPr>
        <w:t>D.Lgs. 50/2016</w:t>
      </w:r>
      <w:r w:rsidRPr="00E65124">
        <w:rPr>
          <w:rFonts w:ascii="Arial" w:hAnsi="Arial" w:cs="Arial"/>
          <w:sz w:val="21"/>
          <w:szCs w:val="21"/>
        </w:rPr>
        <w:t xml:space="preserve"> Destinatario”, è il seguente: </w:t>
      </w:r>
      <w:r w:rsidRPr="00E65124">
        <w:rPr>
          <w:rFonts w:ascii="Arial" w:hAnsi="Arial" w:cs="Arial"/>
          <w:b/>
          <w:sz w:val="21"/>
          <w:szCs w:val="21"/>
        </w:rPr>
        <w:t>UFEEXY</w:t>
      </w:r>
      <w:r w:rsidRPr="00E65124">
        <w:rPr>
          <w:rFonts w:ascii="Arial" w:hAnsi="Arial" w:cs="Arial"/>
          <w:sz w:val="21"/>
          <w:szCs w:val="21"/>
        </w:rPr>
        <w:t>.</w:t>
      </w:r>
    </w:p>
    <w:p w14:paraId="35CC05E3" w14:textId="5A92F340"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 xml:space="preserve">Il </w:t>
      </w:r>
      <w:r w:rsidR="00E725F2">
        <w:rPr>
          <w:rFonts w:ascii="Arial" w:hAnsi="Arial" w:cs="Arial"/>
          <w:sz w:val="21"/>
          <w:szCs w:val="21"/>
        </w:rPr>
        <w:t>D.Lgs. 50/2016</w:t>
      </w:r>
      <w:r w:rsidRPr="00D80149">
        <w:rPr>
          <w:rFonts w:ascii="Arial" w:hAnsi="Arial" w:cs="Arial"/>
          <w:sz w:val="21"/>
          <w:szCs w:val="21"/>
        </w:rPr>
        <w:t xml:space="preserve"> Univoco Ufficio è un’informazione obbligatoria della fattura elettronica e rappresenta l’identificativo univoco che consente al Sistema di Interscambio (SdI), gestito dall’Agenzia delle Entrate, di recapitare correttamente la fattura elettronica all’ufficio destinatario.</w:t>
      </w:r>
    </w:p>
    <w:p w14:paraId="6F0A9800" w14:textId="31E717F2"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lastRenderedPageBreak/>
        <w:t>Al fine di agevolare le operazioni di contabilizzazione e di pagamento delle fatture, oltre al “</w:t>
      </w:r>
      <w:r w:rsidR="00E725F2">
        <w:rPr>
          <w:rFonts w:ascii="Arial" w:hAnsi="Arial" w:cs="Arial"/>
          <w:sz w:val="21"/>
          <w:szCs w:val="21"/>
        </w:rPr>
        <w:t>D.Lgs. 50/2016</w:t>
      </w:r>
      <w:r w:rsidRPr="00D80149">
        <w:rPr>
          <w:rFonts w:ascii="Arial" w:hAnsi="Arial" w:cs="Arial"/>
          <w:sz w:val="21"/>
          <w:szCs w:val="21"/>
        </w:rPr>
        <w:t xml:space="preserve"> Univoco Ufficio”, si richiede obbligatoriamente di indicare nella fattura elettronica, ove previsto, anche le seguenti informazioni:</w:t>
      </w:r>
    </w:p>
    <w:p w14:paraId="04761D3B" w14:textId="39D5349F" w:rsidR="00927AB0" w:rsidRPr="00D80149" w:rsidRDefault="00E725F2" w:rsidP="009B79FF">
      <w:pPr>
        <w:numPr>
          <w:ilvl w:val="0"/>
          <w:numId w:val="2"/>
        </w:numPr>
        <w:tabs>
          <w:tab w:val="left" w:pos="360"/>
        </w:tabs>
        <w:spacing w:before="120" w:after="0" w:line="360" w:lineRule="auto"/>
        <w:ind w:left="700"/>
        <w:rPr>
          <w:rFonts w:ascii="Arial" w:hAnsi="Arial" w:cs="Arial"/>
          <w:bCs/>
          <w:iCs/>
          <w:sz w:val="21"/>
          <w:szCs w:val="21"/>
          <w:lang w:eastAsia="it-IT"/>
        </w:rPr>
      </w:pPr>
      <w:r>
        <w:rPr>
          <w:rFonts w:ascii="Arial" w:hAnsi="Arial" w:cs="Arial"/>
          <w:bCs/>
          <w:iCs/>
          <w:sz w:val="21"/>
          <w:szCs w:val="21"/>
          <w:lang w:eastAsia="it-IT"/>
        </w:rPr>
        <w:t>D.Lgs. 50/2016</w:t>
      </w:r>
      <w:r w:rsidR="00927AB0" w:rsidRPr="00D80149">
        <w:rPr>
          <w:rFonts w:ascii="Arial" w:hAnsi="Arial" w:cs="Arial"/>
          <w:bCs/>
          <w:iCs/>
          <w:sz w:val="21"/>
          <w:szCs w:val="21"/>
          <w:lang w:eastAsia="it-IT"/>
        </w:rPr>
        <w:t xml:space="preserve"> Identificativo Gara – &lt;CIG&gt;</w:t>
      </w:r>
    </w:p>
    <w:p w14:paraId="424C2332"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Numero Ordine di Acquisto – OdA</w:t>
      </w:r>
    </w:p>
    <w:p w14:paraId="7DEF08EE" w14:textId="77777777" w:rsidR="00927AB0" w:rsidRPr="00D80149" w:rsidRDefault="00927AB0" w:rsidP="009B79FF">
      <w:pPr>
        <w:shd w:val="clear" w:color="auto" w:fill="FFFFFF"/>
        <w:spacing w:before="120" w:after="0" w:line="360" w:lineRule="auto"/>
        <w:rPr>
          <w:rFonts w:ascii="Arial" w:hAnsi="Arial" w:cs="Arial"/>
          <w:color w:val="000000"/>
          <w:sz w:val="21"/>
          <w:szCs w:val="21"/>
        </w:rPr>
      </w:pPr>
      <w:r w:rsidRPr="00D80149">
        <w:rPr>
          <w:rFonts w:ascii="Arial" w:hAnsi="Arial" w:cs="Arial"/>
          <w:color w:val="000000"/>
          <w:sz w:val="21"/>
          <w:szCs w:val="21"/>
        </w:rPr>
        <w:t>Per quanto di proprio interesse sul sito </w:t>
      </w:r>
      <w:hyperlink r:id="rId9" w:history="1">
        <w:r w:rsidRPr="00D80149">
          <w:rPr>
            <w:rStyle w:val="Collegamentoipertestuale"/>
            <w:rFonts w:ascii="Arial" w:hAnsi="Arial" w:cs="Arial"/>
            <w:color w:val="000000"/>
            <w:sz w:val="21"/>
            <w:szCs w:val="21"/>
          </w:rPr>
          <w:t>www.fatturapa.gov.it</w:t>
        </w:r>
      </w:hyperlink>
      <w:r w:rsidRPr="00D80149">
        <w:rPr>
          <w:rFonts w:ascii="Arial" w:hAnsi="Arial" w:cs="Arial"/>
          <w:color w:val="000000"/>
          <w:sz w:val="21"/>
          <w:szCs w:val="21"/>
        </w:rPr>
        <w:t> sono disponibili ulteriori informazioni in merito alle modalità di predisposizione e trasmissione della fattura elettronica al Sistema di Interscambio. </w:t>
      </w:r>
    </w:p>
    <w:p w14:paraId="56369582" w14:textId="77777777" w:rsidR="00927AB0" w:rsidRPr="00D80149" w:rsidRDefault="00927AB0" w:rsidP="009B79FF">
      <w:pPr>
        <w:pStyle w:val="TESTO"/>
        <w:spacing w:before="120" w:line="360" w:lineRule="auto"/>
        <w:ind w:firstLine="0"/>
        <w:rPr>
          <w:rFonts w:ascii="Arial" w:hAnsi="Arial" w:cs="Arial"/>
          <w:color w:val="auto"/>
          <w:sz w:val="21"/>
          <w:szCs w:val="21"/>
        </w:rPr>
      </w:pPr>
      <w:r w:rsidRPr="00D80149">
        <w:rPr>
          <w:rFonts w:ascii="Arial" w:hAnsi="Arial" w:cs="Arial"/>
          <w:color w:val="auto"/>
          <w:sz w:val="21"/>
          <w:szCs w:val="21"/>
        </w:rPr>
        <w:t>Le fatture potranno essere presentate, in ogni caso, solo previo rilascio del relativo Certificato di regolare esecuzione e soltanto dopo l’emissione da parte di Coni Servizi, Direzione Acquisti, dell’ordine di acquisto (ODA).</w:t>
      </w:r>
    </w:p>
    <w:p w14:paraId="07129098" w14:textId="77777777" w:rsidR="00927AB0" w:rsidRPr="00D80149" w:rsidRDefault="00927AB0" w:rsidP="009B79FF">
      <w:pPr>
        <w:pStyle w:val="TESTO"/>
        <w:spacing w:before="120" w:line="360" w:lineRule="auto"/>
        <w:ind w:firstLine="0"/>
        <w:rPr>
          <w:rFonts w:ascii="Arial" w:hAnsi="Arial" w:cs="Arial"/>
          <w:color w:val="auto"/>
          <w:sz w:val="21"/>
          <w:szCs w:val="21"/>
        </w:rPr>
      </w:pPr>
      <w:r w:rsidRPr="00D80149">
        <w:rPr>
          <w:rFonts w:ascii="Arial" w:hAnsi="Arial" w:cs="Arial"/>
          <w:color w:val="auto"/>
          <w:sz w:val="21"/>
          <w:szCs w:val="21"/>
        </w:rPr>
        <w:t>Coni Servizi si riserva di non procedere al pagamento della fattura nei seguenti casi:</w:t>
      </w:r>
    </w:p>
    <w:p w14:paraId="6E41CE10"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che non sia trasmessa in modalità elettronica;</w:t>
      </w:r>
    </w:p>
    <w:p w14:paraId="6D8B3A84"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 xml:space="preserve">per la quale si riscontri l’incompletezza e/o l’erroneità delle informazioni richieste (es. mancanza dell’indicazione del numero di ODA e CIG relativo, non correttezza del numero di ODA/CIG, ecc.); </w:t>
      </w:r>
    </w:p>
    <w:p w14:paraId="1150B9CA"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per la quale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60F43A25"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1" w:name="_Toc432085081"/>
      <w:bookmarkStart w:id="62" w:name="_Toc434835301"/>
      <w:bookmarkStart w:id="63" w:name="_Toc436036401"/>
      <w:bookmarkStart w:id="64" w:name="_Toc478649497"/>
      <w:r w:rsidRPr="00D80149">
        <w:rPr>
          <w:rFonts w:ascii="Arial" w:hAnsi="Arial" w:cs="Arial"/>
          <w:b/>
          <w:color w:val="1F497D"/>
          <w:sz w:val="21"/>
          <w:szCs w:val="21"/>
        </w:rPr>
        <w:t>ONERI ED OBBLIGHI DEL FORNITORE E DIRITTI DI CONI SERVIZI</w:t>
      </w:r>
      <w:bookmarkEnd w:id="61"/>
      <w:bookmarkEnd w:id="62"/>
      <w:bookmarkEnd w:id="63"/>
      <w:bookmarkEnd w:id="64"/>
    </w:p>
    <w:p w14:paraId="14678D63" w14:textId="143B2A03"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63A7D0AD" w14:textId="468E95C0"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prende atto e conferma che la conclusione del contratto non determina, in nessun caso, l'assunzione da parte di Coni Servizi di obblighi di qualsiasi natura e genere nei riguardi di dipendenti, collaboratori o ausiliari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salva l'applicazione dell'art. 1676 del </w:t>
      </w:r>
      <w:r w:rsidR="00E725F2">
        <w:rPr>
          <w:rFonts w:ascii="Arial" w:hAnsi="Arial" w:cs="Arial"/>
          <w:bCs/>
          <w:iCs/>
          <w:sz w:val="21"/>
          <w:szCs w:val="21"/>
          <w:lang w:eastAsia="it-IT"/>
        </w:rPr>
        <w:t>D.Lgs. 50/2016</w:t>
      </w:r>
      <w:r w:rsidRPr="00D80149">
        <w:rPr>
          <w:rFonts w:ascii="Arial" w:hAnsi="Arial" w:cs="Arial"/>
          <w:bCs/>
          <w:iCs/>
          <w:sz w:val="21"/>
          <w:szCs w:val="21"/>
          <w:lang w:eastAsia="it-IT"/>
        </w:rPr>
        <w:t xml:space="preserve"> civile e dall’art. 29 del D.Lgs. n. 276/2003.</w:t>
      </w:r>
    </w:p>
    <w:p w14:paraId="37FD6227" w14:textId="7C404D7B"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è tenuto:</w:t>
      </w:r>
    </w:p>
    <w:p w14:paraId="0EAB3BD3"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 xml:space="preserve">a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5A22D655"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lastRenderedPageBreak/>
        <w:t>a osservare scrupolosamente le norme e prescrizioni dei contratti collettivi, delle leggi e dei regolamenti in materia di retribuzione, tutela, sicurezza, legislazione sociale, assicurazione, prevenzione degli infortuni e previdenza obbligatoria dei lavoratori;</w:t>
      </w:r>
    </w:p>
    <w:p w14:paraId="05855C11"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non avvalersi di persone che siano alle dipendenze di Coni Servizi per l’esecuzione del contratto;</w:t>
      </w:r>
    </w:p>
    <w:p w14:paraId="68299BD7"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comunicare le eventuali variazioni della propria struttura organizzativa coinvolta nell'esecuzione del contratto, indicando analiticamente le variazioni intervenute ed i nominativi dei nuovi responsabili;</w:t>
      </w:r>
    </w:p>
    <w:p w14:paraId="1F4C72A1"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informare il personale che Coni Servizi è soggetto estraneo rispetto al proprio rapporto di lavoro , per cui non potranno essere avanzate pretese, azioni o ragioni di qualsivoglia natura nei confronti di Coni Servizi, salvo quanto previsto dalla legge;</w:t>
      </w:r>
    </w:p>
    <w:p w14:paraId="52D65710"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rispettare, per quanto applicabili, le norme internazionali UNI EN ISO vigenti per la gestione, l’assicurazione nella qualità delle prestazioni;</w:t>
      </w:r>
    </w:p>
    <w:p w14:paraId="03D6F315"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manlevare e tenere indenne Coni Servizi da tutte le conseguenze derivanti dalla eventuale inosservanza delle norme e prescrizioni tecniche, di sicurezza, di igiene e sanitarie vigenti;</w:t>
      </w:r>
    </w:p>
    <w:p w14:paraId="6838202D" w14:textId="76B5D5D6"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 xml:space="preserve">uniformarsi ai principi e doveri etici richiamati nel </w:t>
      </w:r>
      <w:r w:rsidR="00E725F2">
        <w:rPr>
          <w:rFonts w:ascii="Arial" w:hAnsi="Arial" w:cs="Arial"/>
          <w:bCs/>
          <w:iCs/>
          <w:sz w:val="21"/>
          <w:szCs w:val="21"/>
          <w:lang w:eastAsia="it-IT"/>
        </w:rPr>
        <w:t>D.Lgs. 50/2016</w:t>
      </w:r>
      <w:r w:rsidRPr="00D80149">
        <w:rPr>
          <w:rFonts w:ascii="Arial" w:hAnsi="Arial" w:cs="Arial"/>
          <w:bCs/>
          <w:iCs/>
          <w:sz w:val="21"/>
          <w:szCs w:val="21"/>
          <w:lang w:eastAsia="it-IT"/>
        </w:rPr>
        <w:t xml:space="preserve"> Etico di Coni Servizi  in vigore;</w:t>
      </w:r>
    </w:p>
    <w:p w14:paraId="4C375D5A" w14:textId="06F0B8B3"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In caso di inadempimento degli obblighi di cui sopra sarà facoltà di Coni Servizi di risolvere il contratto ai sensi dell’art. 1456 del </w:t>
      </w:r>
      <w:r w:rsidR="00E725F2">
        <w:rPr>
          <w:rFonts w:ascii="Arial" w:hAnsi="Arial" w:cs="Arial"/>
          <w:bCs/>
          <w:iCs/>
          <w:sz w:val="21"/>
          <w:szCs w:val="21"/>
          <w:lang w:eastAsia="it-IT"/>
        </w:rPr>
        <w:t>D.Lgs. 50/2016</w:t>
      </w:r>
      <w:r w:rsidRPr="00D80149">
        <w:rPr>
          <w:rFonts w:ascii="Arial" w:hAnsi="Arial" w:cs="Arial"/>
          <w:bCs/>
          <w:iCs/>
          <w:sz w:val="21"/>
          <w:szCs w:val="21"/>
          <w:lang w:eastAsia="it-IT"/>
        </w:rPr>
        <w:t xml:space="preserve"> civile, come previsto dal successivo paragrafo 12.</w:t>
      </w:r>
    </w:p>
    <w:p w14:paraId="03051AF8"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5" w:name="_Toc436665775"/>
      <w:bookmarkStart w:id="66" w:name="_Toc478649498"/>
      <w:r w:rsidRPr="00D80149">
        <w:rPr>
          <w:rFonts w:ascii="Arial" w:hAnsi="Arial" w:cs="Arial"/>
          <w:b/>
          <w:color w:val="1F497D"/>
          <w:sz w:val="21"/>
          <w:szCs w:val="21"/>
        </w:rPr>
        <w:t>OBBLIGHI DI RISERVATEZZA</w:t>
      </w:r>
      <w:bookmarkEnd w:id="65"/>
      <w:bookmarkEnd w:id="66"/>
      <w:r w:rsidRPr="00D80149">
        <w:rPr>
          <w:rFonts w:ascii="Arial" w:hAnsi="Arial" w:cs="Arial"/>
          <w:b/>
          <w:color w:val="1F497D"/>
          <w:sz w:val="21"/>
          <w:szCs w:val="21"/>
        </w:rPr>
        <w:t xml:space="preserve"> </w:t>
      </w:r>
    </w:p>
    <w:p w14:paraId="75E84454" w14:textId="191B2E76"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14:paraId="6A92391C" w14:textId="114A562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xml:space="preserve"> è obbligato a trattare con la massima riservatezza le informazioni e i dati, sia scritti sia verbali, forniti ad esso o ai suoi dipendenti/collaboratori da parte di Coni Servizi per effetto dell’esecuzione dei servizi oggetto dell’appalto.</w:t>
      </w:r>
    </w:p>
    <w:p w14:paraId="06A5DBFD" w14:textId="50E0EACB"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23F53335" w14:textId="0A590CD2"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La suddetta autorizzazione è condizionata all’indicazione, da parte del </w:t>
      </w:r>
      <w:r w:rsidR="00FD204F">
        <w:rPr>
          <w:rFonts w:ascii="Arial" w:hAnsi="Arial" w:cs="Arial"/>
          <w:bCs/>
          <w:sz w:val="21"/>
          <w:szCs w:val="21"/>
        </w:rPr>
        <w:t>Fornitore</w:t>
      </w:r>
      <w:r w:rsidRPr="00D80149">
        <w:rPr>
          <w:rFonts w:ascii="Arial" w:hAnsi="Arial" w:cs="Arial"/>
          <w:bCs/>
          <w:sz w:val="21"/>
          <w:szCs w:val="21"/>
        </w:rPr>
        <w:t xml:space="preserve">, dell’oggetto, dello scopo e del destinatario delle predette informazioni. </w:t>
      </w:r>
    </w:p>
    <w:p w14:paraId="10BA37DF" w14:textId="5CA2E1C0"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lastRenderedPageBreak/>
        <w:t xml:space="preserve">È vietata al </w:t>
      </w:r>
      <w:r w:rsidR="00FD204F">
        <w:rPr>
          <w:rFonts w:ascii="Arial" w:hAnsi="Arial" w:cs="Arial"/>
          <w:bCs/>
          <w:sz w:val="21"/>
          <w:szCs w:val="21"/>
        </w:rPr>
        <w:t>Fornitore</w:t>
      </w:r>
      <w:r w:rsidRPr="00D80149">
        <w:rPr>
          <w:rFonts w:ascii="Arial" w:hAnsi="Arial" w:cs="Arial"/>
          <w:bCs/>
          <w:sz w:val="21"/>
          <w:szCs w:val="21"/>
        </w:rPr>
        <w:t>, ad eccezione di quanto strettamente necessario per l’esecuzione delle prestazioni previste nel presente Capitolato, l’utilizzazione per qualsiasi scopo o ragione dei marchi, dei loghi e della denominazione sociale di Coni Servizi.</w:t>
      </w:r>
    </w:p>
    <w:p w14:paraId="52FE21A7"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È ammessa la menzione del rapporto contrattuale con Coni Servizi nelle referenze e nei curricula nei limiti ordinari ed in termini tali da non determinare la diffusione di informazioni riservate. </w:t>
      </w:r>
    </w:p>
    <w:p w14:paraId="7A5DF3FB"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 predetti dati ed informazioni devono essere utilizzati esclusivamente ai fini dell'esecuzione dei servizi oggetto dell’appalto. </w:t>
      </w:r>
    </w:p>
    <w:p w14:paraId="0165EF1B" w14:textId="03854B64"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In caso di inosservanza, da parte del </w:t>
      </w:r>
      <w:r w:rsidR="00FD204F">
        <w:rPr>
          <w:rFonts w:ascii="Arial" w:hAnsi="Arial" w:cs="Arial"/>
          <w:bCs/>
          <w:sz w:val="21"/>
          <w:szCs w:val="21"/>
        </w:rPr>
        <w:t>Fornitore</w:t>
      </w:r>
      <w:r w:rsidRPr="00D80149">
        <w:rPr>
          <w:rFonts w:ascii="Arial" w:hAnsi="Arial" w:cs="Arial"/>
          <w:bCs/>
          <w:sz w:val="21"/>
          <w:szCs w:val="21"/>
        </w:rPr>
        <w:t xml:space="preserve">, degli obblighi di cui sopra sarà facoltà di Coni Servizi di risolvere il contratto ai sensi dell’art. 1456 del </w:t>
      </w:r>
      <w:r w:rsidR="00E725F2">
        <w:rPr>
          <w:rFonts w:ascii="Arial" w:hAnsi="Arial" w:cs="Arial"/>
          <w:bCs/>
          <w:sz w:val="21"/>
          <w:szCs w:val="21"/>
        </w:rPr>
        <w:t>D.Lgs. 50/2016</w:t>
      </w:r>
      <w:r w:rsidRPr="00D80149">
        <w:rPr>
          <w:rFonts w:ascii="Arial" w:hAnsi="Arial" w:cs="Arial"/>
          <w:bCs/>
          <w:sz w:val="21"/>
          <w:szCs w:val="21"/>
        </w:rPr>
        <w:t xml:space="preserve"> civile, come previsto dal successivo paragrafo 12.</w:t>
      </w:r>
    </w:p>
    <w:p w14:paraId="3E92894B"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7" w:name="_Toc478649499"/>
      <w:r w:rsidRPr="00D80149">
        <w:rPr>
          <w:rFonts w:ascii="Arial" w:hAnsi="Arial" w:cs="Arial"/>
          <w:b/>
          <w:color w:val="1F497D"/>
          <w:sz w:val="21"/>
          <w:szCs w:val="21"/>
        </w:rPr>
        <w:t>RECESSO E RISOLUZIONE DEL CONTRATTO</w:t>
      </w:r>
      <w:bookmarkEnd w:id="67"/>
    </w:p>
    <w:p w14:paraId="16A9DBB7"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Fermo restando quanto previsto dagli articoli 88, comma 4-ter, e 92, comma 4, del D.Lgs. 159/2011, Coni Servizi può recedere dal contratto in qualunque momento previo il pagamento di una penale pari al Canone annuale offerto.</w:t>
      </w:r>
    </w:p>
    <w:p w14:paraId="0D5EB5C7" w14:textId="31C5204D"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L'esercizio del diritto di recesso sarà preceduto da una formale comunicazione al </w:t>
      </w:r>
      <w:r w:rsidR="00FD204F">
        <w:rPr>
          <w:rFonts w:ascii="Arial" w:hAnsi="Arial" w:cs="Arial"/>
          <w:bCs/>
          <w:sz w:val="21"/>
          <w:szCs w:val="21"/>
        </w:rPr>
        <w:t>Fornitore</w:t>
      </w:r>
      <w:r w:rsidRPr="00D80149">
        <w:rPr>
          <w:rFonts w:ascii="Arial" w:hAnsi="Arial" w:cs="Arial"/>
          <w:bCs/>
          <w:sz w:val="21"/>
          <w:szCs w:val="21"/>
        </w:rPr>
        <w:t xml:space="preserve"> da darsi, mediante lettera raccomandata a.r., ovvero mediante posta elettronica certificata, con un preavviso non inferiore a venti giorni.</w:t>
      </w:r>
    </w:p>
    <w:p w14:paraId="057052E9"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Per quanto non espressamente previsto si applica l’art. 109 del D.Lgs. 50/2016.</w:t>
      </w:r>
    </w:p>
    <w:p w14:paraId="4129704A"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Fermo restando il diritto di recesso, Coni Servizi potrà procedere alla risoluzione di diritto del contratto, ai sensi dell’art. 1456 c.c., qualora:</w:t>
      </w:r>
    </w:p>
    <w:p w14:paraId="6DC590D6" w14:textId="0D28DF5C"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xml:space="preserve"> si trovi in una o più delle situazioni descritte all’art. 108, comma 1, del D.Lgs. 50/2016;</w:t>
      </w:r>
    </w:p>
    <w:p w14:paraId="4F52464C"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sia dichiarato fallito o nei suoi confronti venga avviata altra procedura concorsuale, nel cui ambito non sia dichiarata la continuità dell’impresa o del ramo di azienda a cui il contratto sia pertinente;</w:t>
      </w:r>
    </w:p>
    <w:p w14:paraId="225FA276"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venga meno, o manchi uno solo dei requisiti di legge previsti per l’espletamento dei servizi/forniture fatto salvo quanto indicato all’art. 108, comma 2, del D.Lgs. 50/2016;</w:t>
      </w:r>
    </w:p>
    <w:p w14:paraId="49E83BF8"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difformità tra le caratteristiche delle prestazioni erogate e quelle richieste;</w:t>
      </w:r>
    </w:p>
    <w:p w14:paraId="6D516E49"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del divieto di cessione del contratto previsto al successivo paragrafo 13;</w:t>
      </w:r>
    </w:p>
    <w:p w14:paraId="6800D483"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lastRenderedPageBreak/>
        <w:t>si verifichi la violazione del divieto di subappalto del contratto previsto al precedente  paragrafo 7;</w:t>
      </w:r>
    </w:p>
    <w:p w14:paraId="02E5984F"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indicati al precedente paragrafo 10;</w:t>
      </w:r>
    </w:p>
    <w:p w14:paraId="3D10C5B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l’importo delle penalità abbia superato il 10% del valore del contratto;</w:t>
      </w:r>
    </w:p>
    <w:p w14:paraId="477D23F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di riservatezza di cui al precedente paragrafo 11;</w:t>
      </w:r>
    </w:p>
    <w:p w14:paraId="26D8C31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previsti dall’art. 3 della Legge n. 136/2010 e s.m.i., richiamati nel precedente paragrafo 9;</w:t>
      </w:r>
    </w:p>
    <w:p w14:paraId="64C0604E"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venga rilevata l’inosservanza dei principi e doveri etici di cui al successivo paragrafo 14.</w:t>
      </w:r>
    </w:p>
    <w:p w14:paraId="433B7736" w14:textId="64D50F7D"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Coni Servizi risolverà il contratto qualora il </w:t>
      </w:r>
      <w:r w:rsidR="00FD204F">
        <w:rPr>
          <w:rFonts w:ascii="Arial" w:hAnsi="Arial" w:cs="Arial"/>
          <w:bCs/>
          <w:sz w:val="21"/>
          <w:szCs w:val="21"/>
        </w:rPr>
        <w:t>Fornitore</w:t>
      </w:r>
      <w:r w:rsidRPr="00D80149">
        <w:rPr>
          <w:rFonts w:ascii="Arial" w:hAnsi="Arial" w:cs="Arial"/>
          <w:bCs/>
          <w:sz w:val="21"/>
          <w:szCs w:val="21"/>
        </w:rPr>
        <w:t xml:space="preserve"> si trovi in una delle situazione descritte all’art. 108, comma 2, del D.Lgs. 50/2016.</w:t>
      </w:r>
    </w:p>
    <w:p w14:paraId="5B593B84"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Nei casi sopra citati, resta salvo il diritto di Coni Servizi al risarcimento di tutti i danni subiti. </w:t>
      </w:r>
    </w:p>
    <w:p w14:paraId="094D1C2F" w14:textId="530B573E"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La risoluzione di diritto, si verificherà nel momento in cui Coni Servizi comunicherà al </w:t>
      </w:r>
      <w:r w:rsidR="00FD204F">
        <w:rPr>
          <w:rFonts w:ascii="Arial" w:hAnsi="Arial" w:cs="Arial"/>
          <w:bCs/>
          <w:sz w:val="21"/>
          <w:szCs w:val="21"/>
        </w:rPr>
        <w:t>Fornitore</w:t>
      </w:r>
      <w:r w:rsidRPr="00D80149">
        <w:rPr>
          <w:rFonts w:ascii="Arial" w:hAnsi="Arial" w:cs="Arial"/>
          <w:bCs/>
          <w:sz w:val="21"/>
          <w:szCs w:val="21"/>
        </w:rPr>
        <w:t xml:space="preserve">, mediante lettera raccomandata a.r., ovvero mediante posta elettronica certificata, che intende avvalersi della clausola risolutiva espressa anzidetta. </w:t>
      </w:r>
    </w:p>
    <w:p w14:paraId="6E3EF9C2" w14:textId="3EE0E845"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contratto sarà, invece, risolto, con semplice dichiarazione in tal senso, da parte di Coni Servizi al </w:t>
      </w:r>
      <w:r w:rsidR="00FD204F">
        <w:rPr>
          <w:rFonts w:ascii="Arial" w:hAnsi="Arial" w:cs="Arial"/>
          <w:bCs/>
          <w:sz w:val="21"/>
          <w:szCs w:val="21"/>
        </w:rPr>
        <w:t>Fornitore</w:t>
      </w:r>
      <w:r w:rsidRPr="00D80149">
        <w:rPr>
          <w:rFonts w:ascii="Arial" w:hAnsi="Arial" w:cs="Arial"/>
          <w:bCs/>
          <w:sz w:val="21"/>
          <w:szCs w:val="21"/>
        </w:rPr>
        <w:t xml:space="preserve">, nei casi di furto, danneggiamenti, ubriachezza e comportamento contrario alle disposizioni interne di Coni Servizi, riferiti al personale Dipendente del </w:t>
      </w:r>
      <w:r w:rsidR="00FD204F">
        <w:rPr>
          <w:rFonts w:ascii="Arial" w:hAnsi="Arial" w:cs="Arial"/>
          <w:bCs/>
          <w:sz w:val="21"/>
          <w:szCs w:val="21"/>
        </w:rPr>
        <w:t>Fornitore</w:t>
      </w:r>
      <w:r w:rsidRPr="00D80149">
        <w:rPr>
          <w:rFonts w:ascii="Arial" w:hAnsi="Arial" w:cs="Arial"/>
          <w:bCs/>
          <w:sz w:val="21"/>
          <w:szCs w:val="21"/>
        </w:rPr>
        <w:t xml:space="preserve"> medesimo.</w:t>
      </w:r>
    </w:p>
    <w:p w14:paraId="01007AA5"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In ognuna delle ipotesi sopra previste, Coni Servizi non compenserà le prestazioni non eseguite, salvo il suo diritto al risarcimento dei maggiori danni.</w:t>
      </w:r>
    </w:p>
    <w:p w14:paraId="0A6DC677" w14:textId="64247EC3"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Nel caso di risoluzione del contratto il </w:t>
      </w:r>
      <w:r w:rsidR="00FD204F">
        <w:rPr>
          <w:rFonts w:ascii="Arial" w:hAnsi="Arial" w:cs="Arial"/>
          <w:bCs/>
          <w:sz w:val="21"/>
          <w:szCs w:val="21"/>
        </w:rPr>
        <w:t>Fornitore</w:t>
      </w:r>
      <w:r w:rsidRPr="00D80149">
        <w:rPr>
          <w:rFonts w:ascii="Arial" w:hAnsi="Arial" w:cs="Arial"/>
          <w:bCs/>
          <w:sz w:val="21"/>
          <w:szCs w:val="21"/>
        </w:rPr>
        <w:t xml:space="preserve"> avrà diritto soltanto al pagamento delle prestazioni regolarmente eseguite, decurtate degli oneri aggiuntivi derivanti dallo scioglimento del contratto. </w:t>
      </w:r>
    </w:p>
    <w:p w14:paraId="30637164"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14:paraId="7201C41B"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Per quanto non espressamente previsto si applica l’art. 108 del D.Lgs. 50/2016.</w:t>
      </w:r>
    </w:p>
    <w:p w14:paraId="48CD3FE6"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8" w:name="_Toc440991757"/>
      <w:bookmarkStart w:id="69" w:name="_Toc478649500"/>
      <w:r w:rsidRPr="00D80149">
        <w:rPr>
          <w:rFonts w:ascii="Arial" w:hAnsi="Arial" w:cs="Arial"/>
          <w:b/>
          <w:color w:val="1F497D"/>
          <w:sz w:val="21"/>
          <w:szCs w:val="21"/>
        </w:rPr>
        <w:t>DIVIETO DI CESSIONE DEL CONTRATTO</w:t>
      </w:r>
      <w:bookmarkEnd w:id="68"/>
      <w:bookmarkEnd w:id="69"/>
    </w:p>
    <w:p w14:paraId="051934FF" w14:textId="51431DC5"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È fatto assoluto divieto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di cedere, a qualsiasi titolo, il contratto, a pena di nullità delle cessioni stesse, salvo quanto previsto dalla normativa vigente.</w:t>
      </w:r>
    </w:p>
    <w:p w14:paraId="3312D754" w14:textId="6F032C9A" w:rsidR="00927AB0" w:rsidRPr="00D80149" w:rsidRDefault="003A74F8" w:rsidP="009B79FF">
      <w:pPr>
        <w:numPr>
          <w:ilvl w:val="0"/>
          <w:numId w:val="1"/>
        </w:numPr>
        <w:spacing w:before="120" w:after="0" w:line="360" w:lineRule="auto"/>
        <w:ind w:left="357" w:hanging="357"/>
        <w:outlineLvl w:val="0"/>
        <w:rPr>
          <w:rFonts w:ascii="Arial" w:hAnsi="Arial" w:cs="Arial"/>
          <w:b/>
          <w:color w:val="1F497D"/>
          <w:sz w:val="21"/>
          <w:szCs w:val="21"/>
        </w:rPr>
      </w:pPr>
      <w:bookmarkStart w:id="70" w:name="_Toc465873709"/>
      <w:bookmarkStart w:id="71" w:name="_Toc478649501"/>
      <w:r>
        <w:rPr>
          <w:rFonts w:ascii="Arial" w:hAnsi="Arial" w:cs="Arial"/>
          <w:b/>
          <w:color w:val="1F497D"/>
          <w:sz w:val="21"/>
          <w:szCs w:val="21"/>
        </w:rPr>
        <w:t>CODICE</w:t>
      </w:r>
      <w:r w:rsidR="00927AB0" w:rsidRPr="00D80149">
        <w:rPr>
          <w:rFonts w:ascii="Arial" w:hAnsi="Arial" w:cs="Arial"/>
          <w:b/>
          <w:color w:val="1F497D"/>
          <w:sz w:val="21"/>
          <w:szCs w:val="21"/>
        </w:rPr>
        <w:t xml:space="preserve"> ETICO E MODELLO ORGANIZZATIVO</w:t>
      </w:r>
      <w:bookmarkEnd w:id="70"/>
      <w:bookmarkEnd w:id="71"/>
    </w:p>
    <w:p w14:paraId="74DB904C" w14:textId="302AE06F"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lastRenderedPageBreak/>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deve prendere visione del </w:t>
      </w:r>
      <w:r w:rsidR="00E725F2">
        <w:rPr>
          <w:rFonts w:ascii="Arial" w:hAnsi="Arial" w:cs="Arial"/>
          <w:bCs/>
          <w:iCs/>
          <w:sz w:val="21"/>
          <w:szCs w:val="21"/>
          <w:lang w:eastAsia="it-IT"/>
        </w:rPr>
        <w:t>D.Lgs. 50/2016</w:t>
      </w:r>
      <w:r w:rsidRPr="00D80149">
        <w:rPr>
          <w:rFonts w:ascii="Arial" w:hAnsi="Arial" w:cs="Arial"/>
          <w:bCs/>
          <w:iCs/>
          <w:sz w:val="21"/>
          <w:szCs w:val="21"/>
          <w:lang w:eastAsia="it-IT"/>
        </w:rPr>
        <w:t xml:space="preserve"> Etico di Coni Servizi consultabile sul sito internet della stessa e di uniformarsi ai principi ivi contenuti che dovranno ritenersi applicabili anche nei rapporti tra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e Coni Servizi. In particolare si precisa che gli obblighi in materia di riservatezza di cui al </w:t>
      </w:r>
      <w:r w:rsidR="00E725F2">
        <w:rPr>
          <w:rFonts w:ascii="Arial" w:hAnsi="Arial" w:cs="Arial"/>
          <w:bCs/>
          <w:iCs/>
          <w:sz w:val="21"/>
          <w:szCs w:val="21"/>
          <w:lang w:eastAsia="it-IT"/>
        </w:rPr>
        <w:t>D.Lgs. 50/2016</w:t>
      </w:r>
      <w:r w:rsidRPr="00D80149">
        <w:rPr>
          <w:rFonts w:ascii="Arial" w:hAnsi="Arial" w:cs="Arial"/>
          <w:bCs/>
          <w:iCs/>
          <w:sz w:val="21"/>
          <w:szCs w:val="21"/>
          <w:lang w:eastAsia="it-IT"/>
        </w:rPr>
        <w:t xml:space="preserve"> Etico dovranno essere rispettati anche in caso di cessazione dei rapporti attualmente in essere con Coni Servizi e comunque per i cinque anni successivi alla cessazione di efficacia del rapporto contrattuale.</w:t>
      </w:r>
    </w:p>
    <w:p w14:paraId="263BAB32" w14:textId="6E4C53A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per effetto della sottoscrizione del contratto, deve impegnarsi:</w:t>
      </w:r>
    </w:p>
    <w:p w14:paraId="5A23731B"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ad operare nel rispetto dei principi e delle previsioni di cui al D.Lgs. 231/2001; </w:t>
      </w:r>
    </w:p>
    <w:p w14:paraId="1D03B9C3" w14:textId="7B8427DC"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ad uniformarsi alle previsioni contenute nel Modello di organizzazione, gestione e controllo adottato da Coni Servizi, ai sensi del D.Lgs. 231/2001 per le parti di pertinenza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e così come verrà reso disponibile da Coni Servizi all’atto della stipula. </w:t>
      </w:r>
    </w:p>
    <w:p w14:paraId="32FA3758"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La violazione di tali obbligazioni costituiscono grave inadempimento contrattuale con ogni conseguenza di legge, anche in ordine alla facoltà di Coni Servizi di risoluzione del contratto, anche ai sensi dell’art. 1456 c.c. e secondo quanto previsto dal precedente paragrafo 12.</w:t>
      </w:r>
    </w:p>
    <w:p w14:paraId="442A0C13"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2" w:name="_Toc465873710"/>
      <w:bookmarkStart w:id="73" w:name="_Toc478649502"/>
      <w:r w:rsidRPr="00D80149">
        <w:rPr>
          <w:rFonts w:ascii="Arial" w:hAnsi="Arial" w:cs="Arial"/>
          <w:b/>
          <w:color w:val="1F497D"/>
          <w:sz w:val="21"/>
          <w:szCs w:val="21"/>
        </w:rPr>
        <w:t>ONERI E TASSE</w:t>
      </w:r>
      <w:bookmarkEnd w:id="72"/>
      <w:bookmarkEnd w:id="73"/>
    </w:p>
    <w:p w14:paraId="1C1E1E54" w14:textId="7355F1FF"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Salvo diversa pattuizione o previsione di legge, saranno a completo carico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14:paraId="4A7E45CC" w14:textId="6422243B"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Nel caso di prestazioni rese nel territorio dello Stato italiano da soggetti residenti all’estero, senza stabile organizzazione in Italia,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sarà tenuto a compiere gli adempimenti necessari per consentire a Coni Servizi di assolvere agli obblighi di legge.</w:t>
      </w:r>
    </w:p>
    <w:p w14:paraId="69486F4F"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4" w:name="_Toc465873711"/>
      <w:bookmarkStart w:id="75" w:name="_Toc478649503"/>
      <w:r w:rsidRPr="00D80149">
        <w:rPr>
          <w:rFonts w:ascii="Arial" w:hAnsi="Arial" w:cs="Arial"/>
          <w:b/>
          <w:color w:val="1F497D"/>
          <w:sz w:val="21"/>
          <w:szCs w:val="21"/>
        </w:rPr>
        <w:t>DEFINIZIONE DELLE CONTROVERSIE E DOMICILIO DEL FORNITORE</w:t>
      </w:r>
      <w:bookmarkEnd w:id="74"/>
      <w:bookmarkEnd w:id="75"/>
    </w:p>
    <w:p w14:paraId="1AE31F7D"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Al presente appalto si applica la legge vigente nella Repubblica italiana.</w:t>
      </w:r>
    </w:p>
    <w:p w14:paraId="163BC692"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Per qualsiasi controversia che dovesse insorgere tra le parti relativamente all’interpretazione, esecuzione e/o risoluzione del contratto sarà competente in via esclusiva il Foro di Roma.</w:t>
      </w:r>
    </w:p>
    <w:p w14:paraId="0E3D7F72"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Le parti del contratto saranno tenute ad effettuare ogni ragionevole sforzo, anche ai sensi e per gli effetti delle disposizioni di cui agli artt. 1366 e 1375 c.c., per evitare ogni eventuale controversia che dovesse insorgere in relazione e per effetto del contratto.</w:t>
      </w:r>
    </w:p>
    <w:p w14:paraId="684EF8ED" w14:textId="29967C54"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lastRenderedPageBreak/>
        <w:t xml:space="preserve">Se richiesto da Coni Servizi,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sarà tenuto ai fini contrattuali ad eleggere domicilio in Roma o in altra località indicata dalla stessa. Successivamente al perfezionamento del contratto, tutte le comunicazioni saranno effettuate, a rischio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al domicilio eletto. </w:t>
      </w:r>
    </w:p>
    <w:p w14:paraId="38B084FF" w14:textId="7D66AF5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con sede legale all’estero, che non ha stabile organizzazione in Italia, sarà tenuto ad indicare i suoi procuratori e domiciliatari in Italia.</w:t>
      </w:r>
    </w:p>
    <w:p w14:paraId="66EB0FDD"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6" w:name="_Toc465873712"/>
      <w:bookmarkStart w:id="77" w:name="_Toc478649504"/>
      <w:r w:rsidRPr="00D80149">
        <w:rPr>
          <w:rFonts w:ascii="Arial" w:hAnsi="Arial" w:cs="Arial"/>
          <w:b/>
          <w:color w:val="1F497D"/>
          <w:sz w:val="21"/>
          <w:szCs w:val="21"/>
        </w:rPr>
        <w:t>TUTELA DELLA PRIVACY E TRATTAMENTO DEI DATI PERSONALI</w:t>
      </w:r>
      <w:bookmarkEnd w:id="76"/>
      <w:bookmarkEnd w:id="77"/>
    </w:p>
    <w:p w14:paraId="62CC7A55" w14:textId="27845A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bookmarkStart w:id="78" w:name="_Toc167610570"/>
      <w:bookmarkStart w:id="79" w:name="_Toc190080920"/>
      <w:bookmarkStart w:id="80" w:name="_Toc329167996"/>
      <w:r w:rsidRPr="00D80149">
        <w:rPr>
          <w:rFonts w:ascii="Arial" w:hAnsi="Arial" w:cs="Arial"/>
          <w:bCs/>
          <w:iCs/>
          <w:sz w:val="21"/>
          <w:szCs w:val="21"/>
          <w:lang w:eastAsia="it-IT"/>
        </w:rPr>
        <w:t xml:space="preserve">Oltre quanto già indicato nei paragrafi precedente,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nell’adempimento dei propri obblighi contrattuali nei confronti di Coni Servizi e nell’esecuzione di tutte le conseguenti operazioni di trattamento dei dati personali, deve osservare scrupolosamente le disposizioni del D.Lgs. 196/2003 e s.m.i.. </w:t>
      </w:r>
    </w:p>
    <w:p w14:paraId="597E020B" w14:textId="669460D2"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In particolare,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w:t>
      </w:r>
    </w:p>
    <w:p w14:paraId="522140CD"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deve effettuare esclusivamente le operazioni concordate con Coni Servizi per lo svolgimento delle attività oggetto dell’incarico; </w:t>
      </w:r>
    </w:p>
    <w:p w14:paraId="60BFEC63"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nel caso in cui proceda alla comunicazione a terzi di dati personali, in esecuzione di obblighi contrattuali, deve attenersi alle disposizioni di legge e garantire che i dati giungano esatti e siano utilizzati per fini leciti;</w:t>
      </w:r>
    </w:p>
    <w:p w14:paraId="3DDC6BBB"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deve utilizzare i dati personali nella misura strettamente necessaria alla attività da compiere per l’espletamento dell’incarico. </w:t>
      </w:r>
    </w:p>
    <w:bookmarkEnd w:id="78"/>
    <w:bookmarkEnd w:id="79"/>
    <w:bookmarkEnd w:id="80"/>
    <w:p w14:paraId="4C1DAFA3"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trattamento dei dati acquisiti, deve avvenire solo ed esclusivamente per lo svolgimento delle attività del contratto; è vietata la diffusione e/o qualsiasi uso diverso e/o non strettamente connesso con le attività testé richiamate. </w:t>
      </w:r>
    </w:p>
    <w:p w14:paraId="29E7DDBA" w14:textId="134A6378"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Ai sensi del D.Lgs. 196/03 e s.m.i., i dati forniti dal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saranno trattati, da Coni Servizi, esclusivamente per le finalità connesse alla gara e per la gestione del contratto.</w:t>
      </w:r>
      <w:bookmarkStart w:id="81" w:name="_PictureBullets"/>
      <w:bookmarkEnd w:id="81"/>
    </w:p>
    <w:p w14:paraId="3F31F66C"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p>
    <w:bookmarkEnd w:id="1"/>
    <w:p w14:paraId="7CE22F48" w14:textId="483F24B8" w:rsidR="001F07DC" w:rsidRDefault="00927AB0" w:rsidP="005432C5">
      <w:pPr>
        <w:autoSpaceDE w:val="0"/>
        <w:autoSpaceDN w:val="0"/>
        <w:adjustRightInd w:val="0"/>
        <w:spacing w:before="120" w:after="0" w:line="360" w:lineRule="auto"/>
      </w:pPr>
      <w:r>
        <w:rPr>
          <w:rFonts w:ascii="Arial" w:hAnsi="Arial" w:cs="Arial"/>
          <w:bCs/>
          <w:iCs/>
          <w:sz w:val="21"/>
          <w:szCs w:val="21"/>
          <w:lang w:eastAsia="it-IT"/>
        </w:rPr>
        <w:t>[</w:t>
      </w:r>
      <w:r w:rsidRPr="00D80149">
        <w:rPr>
          <w:rFonts w:ascii="Arial" w:hAnsi="Arial" w:cs="Arial"/>
          <w:bCs/>
          <w:iCs/>
          <w:sz w:val="21"/>
          <w:szCs w:val="21"/>
          <w:lang w:eastAsia="it-IT"/>
        </w:rPr>
        <w:t>FINE DOCUMENTO</w:t>
      </w:r>
      <w:r>
        <w:rPr>
          <w:rFonts w:ascii="Arial" w:hAnsi="Arial" w:cs="Arial"/>
          <w:bCs/>
          <w:iCs/>
          <w:sz w:val="21"/>
          <w:szCs w:val="21"/>
          <w:lang w:eastAsia="it-IT"/>
        </w:rPr>
        <w:t>]</w:t>
      </w:r>
    </w:p>
    <w:sectPr w:rsidR="001F07DC" w:rsidSect="00B56F79">
      <w:headerReference w:type="default" r:id="rId10"/>
      <w:footerReference w:type="even" r:id="rId11"/>
      <w:footerReference w:type="default" r:id="rId12"/>
      <w:headerReference w:type="first" r:id="rId13"/>
      <w:footerReference w:type="first" r:id="rId14"/>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3228" w14:textId="77777777" w:rsidR="004E0A98" w:rsidRDefault="004E0A98">
      <w:pPr>
        <w:spacing w:after="0" w:line="240" w:lineRule="auto"/>
      </w:pPr>
      <w:r>
        <w:separator/>
      </w:r>
    </w:p>
  </w:endnote>
  <w:endnote w:type="continuationSeparator" w:id="0">
    <w:p w14:paraId="78229016" w14:textId="77777777" w:rsidR="004E0A98" w:rsidRDefault="004E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04DD" w14:textId="77777777" w:rsidR="004E0A98" w:rsidRDefault="004E0A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B6DD9" w14:textId="77777777" w:rsidR="004E0A98" w:rsidRDefault="004E0A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76DE" w14:textId="77777777" w:rsidR="005432C5" w:rsidRDefault="005432C5">
    <w:pPr>
      <w:pStyle w:val="Pidipagina"/>
      <w:jc w:val="right"/>
      <w:rPr>
        <w:rFonts w:ascii="Arial" w:hAnsi="Arial" w:cs="Arial"/>
      </w:rPr>
    </w:pPr>
  </w:p>
  <w:p w14:paraId="1823957D" w14:textId="77777777" w:rsidR="004E0A98" w:rsidRPr="000B2B71" w:rsidRDefault="004E0A98">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7016F9">
      <w:rPr>
        <w:rFonts w:ascii="Arial" w:hAnsi="Arial" w:cs="Arial"/>
        <w:noProof/>
      </w:rPr>
      <w:t>4</w:t>
    </w:r>
    <w:r w:rsidRPr="000B2B71">
      <w:rPr>
        <w:rFonts w:ascii="Arial" w:hAnsi="Arial" w:cs="Arial"/>
      </w:rPr>
      <w:fldChar w:fldCharType="end"/>
    </w:r>
    <w:r w:rsidRPr="000B2B71">
      <w:rPr>
        <w:rFonts w:ascii="Arial" w:hAnsi="Arial" w:cs="Arial"/>
      </w:rPr>
      <w:t xml:space="preserve"> di </w:t>
    </w:r>
    <w:fldSimple w:instr=" NUMPAGES   \* MERGEFORMAT ">
      <w:r w:rsidR="007016F9" w:rsidRPr="007016F9">
        <w:rPr>
          <w:rFonts w:ascii="Arial" w:hAnsi="Arial" w:cs="Arial"/>
          <w:noProof/>
        </w:rPr>
        <w:t>18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DAED"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37B67543"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Sede legale: 00135 Roma, Largo Lauro de Bosis, 15</w:t>
    </w:r>
  </w:p>
  <w:p w14:paraId="6DBD69E6"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16947F3D"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C.F. P.IVA e Iscr. Reg. Imprese di Roma 07207761003</w:t>
    </w:r>
  </w:p>
  <w:p w14:paraId="59E2032D" w14:textId="77777777" w:rsidR="004E0A98" w:rsidRDefault="004E0A98" w:rsidP="00B56F79">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4EA0C225" w14:textId="77777777" w:rsidR="004E0A98" w:rsidRPr="00154FFE"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A710" w14:textId="77777777" w:rsidR="004E0A98" w:rsidRDefault="004E0A98">
      <w:pPr>
        <w:spacing w:after="0" w:line="240" w:lineRule="auto"/>
      </w:pPr>
      <w:r>
        <w:separator/>
      </w:r>
    </w:p>
  </w:footnote>
  <w:footnote w:type="continuationSeparator" w:id="0">
    <w:p w14:paraId="40EAE8D3" w14:textId="77777777" w:rsidR="004E0A98" w:rsidRDefault="004E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4ECB" w14:textId="77777777" w:rsidR="004E0A98" w:rsidRPr="00001A35" w:rsidRDefault="004E0A98">
    <w:pPr>
      <w:pStyle w:val="Intestazione"/>
    </w:pPr>
    <w:r>
      <w:rPr>
        <w:noProof/>
      </w:rPr>
      <w:drawing>
        <wp:inline distT="0" distB="0" distL="0" distR="0" wp14:anchorId="4F296AD6" wp14:editId="02F47D3F">
          <wp:extent cx="1285875" cy="819150"/>
          <wp:effectExtent l="19050" t="0" r="9525" b="0"/>
          <wp:docPr id="40"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587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CE50" w14:textId="77777777" w:rsidR="004E0A98" w:rsidRDefault="004E0A98">
    <w:pPr>
      <w:pStyle w:val="Intestazione"/>
    </w:pPr>
    <w:r>
      <w:rPr>
        <w:noProof/>
      </w:rPr>
      <w:drawing>
        <wp:inline distT="0" distB="0" distL="0" distR="0" wp14:anchorId="787583C5" wp14:editId="4F4D0B03">
          <wp:extent cx="1285875" cy="800100"/>
          <wp:effectExtent l="19050" t="0" r="9525"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0CD"/>
    <w:multiLevelType w:val="hybridMultilevel"/>
    <w:tmpl w:val="C576E55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094B"/>
    <w:multiLevelType w:val="hybridMultilevel"/>
    <w:tmpl w:val="47E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88E"/>
    <w:multiLevelType w:val="hybridMultilevel"/>
    <w:tmpl w:val="A30EEEB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862046"/>
    <w:multiLevelType w:val="hybridMultilevel"/>
    <w:tmpl w:val="B9707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CF179D"/>
    <w:multiLevelType w:val="hybridMultilevel"/>
    <w:tmpl w:val="15F6BFD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513F7"/>
    <w:multiLevelType w:val="hybridMultilevel"/>
    <w:tmpl w:val="45729FAC"/>
    <w:lvl w:ilvl="0" w:tplc="D582780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B4904"/>
    <w:multiLevelType w:val="hybridMultilevel"/>
    <w:tmpl w:val="DB6C646A"/>
    <w:lvl w:ilvl="0" w:tplc="35FA065A">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C50310"/>
    <w:multiLevelType w:val="hybridMultilevel"/>
    <w:tmpl w:val="1154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939AE"/>
    <w:multiLevelType w:val="hybridMultilevel"/>
    <w:tmpl w:val="F0E65A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0A30E4"/>
    <w:multiLevelType w:val="hybridMultilevel"/>
    <w:tmpl w:val="B79A02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2169D"/>
    <w:multiLevelType w:val="hybridMultilevel"/>
    <w:tmpl w:val="9FC49594"/>
    <w:lvl w:ilvl="0" w:tplc="CA5EF698">
      <w:start w:val="1"/>
      <w:numFmt w:val="bullet"/>
      <w:lvlText w:val=""/>
      <w:lvlJc w:val="left"/>
      <w:pPr>
        <w:ind w:left="780" w:hanging="360"/>
      </w:pPr>
      <w:rPr>
        <w:rFonts w:ascii="Wingdings" w:hAnsi="Wingdings" w:hint="default"/>
        <w:color w:val="auto"/>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2" w15:restartNumberingAfterBreak="0">
    <w:nsid w:val="172C30CE"/>
    <w:multiLevelType w:val="hybridMultilevel"/>
    <w:tmpl w:val="2B048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5018F5"/>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975D1"/>
    <w:multiLevelType w:val="hybridMultilevel"/>
    <w:tmpl w:val="4100ED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5E4250"/>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E931ED"/>
    <w:multiLevelType w:val="hybridMultilevel"/>
    <w:tmpl w:val="2916B692"/>
    <w:lvl w:ilvl="0" w:tplc="AADE8FE4">
      <w:start w:val="1"/>
      <w:numFmt w:val="bullet"/>
      <w:lvlText w:val="-"/>
      <w:lvlJc w:val="left"/>
      <w:pPr>
        <w:ind w:left="1080" w:hanging="360"/>
      </w:pPr>
      <w:rPr>
        <w:rFonts w:ascii="Calibri" w:eastAsia="Calibri" w:hAnsi="Calibri" w:cs="Times New Roman" w:hint="default"/>
        <w:sz w:val="22"/>
        <w:szCs w:val="22"/>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229563AD"/>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38D0160"/>
    <w:multiLevelType w:val="hybridMultilevel"/>
    <w:tmpl w:val="FC4C9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6041AB8"/>
    <w:multiLevelType w:val="hybridMultilevel"/>
    <w:tmpl w:val="C06A4B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832FB8"/>
    <w:multiLevelType w:val="hybridMultilevel"/>
    <w:tmpl w:val="C87855CC"/>
    <w:lvl w:ilvl="0" w:tplc="C552743A">
      <w:start w:val="1"/>
      <w:numFmt w:val="decimal"/>
      <w:lvlText w:val="%1."/>
      <w:lvlJc w:val="left"/>
      <w:pPr>
        <w:tabs>
          <w:tab w:val="num" w:pos="720"/>
        </w:tabs>
        <w:ind w:left="720" w:hanging="360"/>
      </w:pPr>
    </w:lvl>
    <w:lvl w:ilvl="1" w:tplc="3AE4C052" w:tentative="1">
      <w:start w:val="1"/>
      <w:numFmt w:val="decimal"/>
      <w:lvlText w:val="%2."/>
      <w:lvlJc w:val="left"/>
      <w:pPr>
        <w:tabs>
          <w:tab w:val="num" w:pos="1440"/>
        </w:tabs>
        <w:ind w:left="1440" w:hanging="360"/>
      </w:pPr>
    </w:lvl>
    <w:lvl w:ilvl="2" w:tplc="BBF8B7AE" w:tentative="1">
      <w:start w:val="1"/>
      <w:numFmt w:val="decimal"/>
      <w:lvlText w:val="%3."/>
      <w:lvlJc w:val="left"/>
      <w:pPr>
        <w:tabs>
          <w:tab w:val="num" w:pos="2160"/>
        </w:tabs>
        <w:ind w:left="2160" w:hanging="360"/>
      </w:pPr>
    </w:lvl>
    <w:lvl w:ilvl="3" w:tplc="07CED082" w:tentative="1">
      <w:start w:val="1"/>
      <w:numFmt w:val="decimal"/>
      <w:lvlText w:val="%4."/>
      <w:lvlJc w:val="left"/>
      <w:pPr>
        <w:tabs>
          <w:tab w:val="num" w:pos="2880"/>
        </w:tabs>
        <w:ind w:left="2880" w:hanging="360"/>
      </w:pPr>
    </w:lvl>
    <w:lvl w:ilvl="4" w:tplc="A2E2207C" w:tentative="1">
      <w:start w:val="1"/>
      <w:numFmt w:val="decimal"/>
      <w:lvlText w:val="%5."/>
      <w:lvlJc w:val="left"/>
      <w:pPr>
        <w:tabs>
          <w:tab w:val="num" w:pos="3600"/>
        </w:tabs>
        <w:ind w:left="3600" w:hanging="360"/>
      </w:pPr>
    </w:lvl>
    <w:lvl w:ilvl="5" w:tplc="863E7B24" w:tentative="1">
      <w:start w:val="1"/>
      <w:numFmt w:val="decimal"/>
      <w:lvlText w:val="%6."/>
      <w:lvlJc w:val="left"/>
      <w:pPr>
        <w:tabs>
          <w:tab w:val="num" w:pos="4320"/>
        </w:tabs>
        <w:ind w:left="4320" w:hanging="360"/>
      </w:pPr>
    </w:lvl>
    <w:lvl w:ilvl="6" w:tplc="AB348258" w:tentative="1">
      <w:start w:val="1"/>
      <w:numFmt w:val="decimal"/>
      <w:lvlText w:val="%7."/>
      <w:lvlJc w:val="left"/>
      <w:pPr>
        <w:tabs>
          <w:tab w:val="num" w:pos="5040"/>
        </w:tabs>
        <w:ind w:left="5040" w:hanging="360"/>
      </w:pPr>
    </w:lvl>
    <w:lvl w:ilvl="7" w:tplc="F77CD9DE" w:tentative="1">
      <w:start w:val="1"/>
      <w:numFmt w:val="decimal"/>
      <w:lvlText w:val="%8."/>
      <w:lvlJc w:val="left"/>
      <w:pPr>
        <w:tabs>
          <w:tab w:val="num" w:pos="5760"/>
        </w:tabs>
        <w:ind w:left="5760" w:hanging="360"/>
      </w:pPr>
    </w:lvl>
    <w:lvl w:ilvl="8" w:tplc="AB42AF1E" w:tentative="1">
      <w:start w:val="1"/>
      <w:numFmt w:val="decimal"/>
      <w:lvlText w:val="%9."/>
      <w:lvlJc w:val="left"/>
      <w:pPr>
        <w:tabs>
          <w:tab w:val="num" w:pos="6480"/>
        </w:tabs>
        <w:ind w:left="6480" w:hanging="360"/>
      </w:pPr>
    </w:lvl>
  </w:abstractNum>
  <w:abstractNum w:abstractNumId="24" w15:restartNumberingAfterBreak="0">
    <w:nsid w:val="2D221C82"/>
    <w:multiLevelType w:val="hybridMultilevel"/>
    <w:tmpl w:val="D4E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54D57"/>
    <w:multiLevelType w:val="hybridMultilevel"/>
    <w:tmpl w:val="716260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3CF53E7C"/>
    <w:multiLevelType w:val="hybridMultilevel"/>
    <w:tmpl w:val="A090450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13C5820"/>
    <w:multiLevelType w:val="hybridMultilevel"/>
    <w:tmpl w:val="70FA82B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F46CFC"/>
    <w:multiLevelType w:val="hybridMultilevel"/>
    <w:tmpl w:val="CFB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CAC177C"/>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1EE4BEA"/>
    <w:multiLevelType w:val="hybridMultilevel"/>
    <w:tmpl w:val="0CE05B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880252"/>
    <w:multiLevelType w:val="hybridMultilevel"/>
    <w:tmpl w:val="B6A8C8D2"/>
    <w:lvl w:ilvl="0" w:tplc="3472897A">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132573"/>
    <w:multiLevelType w:val="hybridMultilevel"/>
    <w:tmpl w:val="E4A407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692382"/>
    <w:multiLevelType w:val="hybridMultilevel"/>
    <w:tmpl w:val="BE4AC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A075B1"/>
    <w:multiLevelType w:val="hybridMultilevel"/>
    <w:tmpl w:val="CC6ABD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8465DC"/>
    <w:multiLevelType w:val="hybridMultilevel"/>
    <w:tmpl w:val="63EE3470"/>
    <w:lvl w:ilvl="0" w:tplc="D58278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6D0C4631"/>
    <w:multiLevelType w:val="hybridMultilevel"/>
    <w:tmpl w:val="34D0865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6D7F6C51"/>
    <w:multiLevelType w:val="hybridMultilevel"/>
    <w:tmpl w:val="6CA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670D4"/>
    <w:multiLevelType w:val="hybridMultilevel"/>
    <w:tmpl w:val="92BA924E"/>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4" w15:restartNumberingAfterBreak="0">
    <w:nsid w:val="73E14EF4"/>
    <w:multiLevelType w:val="hybridMultilevel"/>
    <w:tmpl w:val="99364754"/>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B915B0"/>
    <w:multiLevelType w:val="hybridMultilevel"/>
    <w:tmpl w:val="895E4822"/>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6"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6"/>
  </w:num>
  <w:num w:numId="4">
    <w:abstractNumId w:val="29"/>
  </w:num>
  <w:num w:numId="5">
    <w:abstractNumId w:val="27"/>
  </w:num>
  <w:num w:numId="6">
    <w:abstractNumId w:val="35"/>
  </w:num>
  <w:num w:numId="7">
    <w:abstractNumId w:val="7"/>
  </w:num>
  <w:num w:numId="8">
    <w:abstractNumId w:val="34"/>
  </w:num>
  <w:num w:numId="9">
    <w:abstractNumId w:val="15"/>
  </w:num>
  <w:num w:numId="10">
    <w:abstractNumId w:val="46"/>
  </w:num>
  <w:num w:numId="11">
    <w:abstractNumId w:val="10"/>
  </w:num>
  <w:num w:numId="12">
    <w:abstractNumId w:val="36"/>
  </w:num>
  <w:num w:numId="13">
    <w:abstractNumId w:val="1"/>
  </w:num>
  <w:num w:numId="14">
    <w:abstractNumId w:val="28"/>
  </w:num>
  <w:num w:numId="15">
    <w:abstractNumId w:val="33"/>
  </w:num>
  <w:num w:numId="16">
    <w:abstractNumId w:val="14"/>
  </w:num>
  <w:num w:numId="17">
    <w:abstractNumId w:val="42"/>
  </w:num>
  <w:num w:numId="18">
    <w:abstractNumId w:val="24"/>
  </w:num>
  <w:num w:numId="19">
    <w:abstractNumId w:val="2"/>
  </w:num>
  <w:num w:numId="20">
    <w:abstractNumId w:val="21"/>
  </w:num>
  <w:num w:numId="21">
    <w:abstractNumId w:val="20"/>
  </w:num>
  <w:num w:numId="22">
    <w:abstractNumId w:val="6"/>
  </w:num>
  <w:num w:numId="23">
    <w:abstractNumId w:val="3"/>
  </w:num>
  <w:num w:numId="24">
    <w:abstractNumId w:val="40"/>
  </w:num>
  <w:num w:numId="25">
    <w:abstractNumId w:val="44"/>
  </w:num>
  <w:num w:numId="26">
    <w:abstractNumId w:val="23"/>
  </w:num>
  <w:num w:numId="27">
    <w:abstractNumId w:val="11"/>
  </w:num>
  <w:num w:numId="28">
    <w:abstractNumId w:val="18"/>
  </w:num>
  <w:num w:numId="29">
    <w:abstractNumId w:val="37"/>
  </w:num>
  <w:num w:numId="30">
    <w:abstractNumId w:val="12"/>
  </w:num>
  <w:num w:numId="31">
    <w:abstractNumId w:val="26"/>
  </w:num>
  <w:num w:numId="32">
    <w:abstractNumId w:val="9"/>
  </w:num>
  <w:num w:numId="33">
    <w:abstractNumId w:val="39"/>
  </w:num>
  <w:num w:numId="34">
    <w:abstractNumId w:val="8"/>
  </w:num>
  <w:num w:numId="35">
    <w:abstractNumId w:val="38"/>
  </w:num>
  <w:num w:numId="36">
    <w:abstractNumId w:val="30"/>
  </w:num>
  <w:num w:numId="37">
    <w:abstractNumId w:val="4"/>
  </w:num>
  <w:num w:numId="38">
    <w:abstractNumId w:val="17"/>
  </w:num>
  <w:num w:numId="39">
    <w:abstractNumId w:val="25"/>
  </w:num>
  <w:num w:numId="40">
    <w:abstractNumId w:val="5"/>
  </w:num>
  <w:num w:numId="41">
    <w:abstractNumId w:val="13"/>
  </w:num>
  <w:num w:numId="42">
    <w:abstractNumId w:val="41"/>
  </w:num>
  <w:num w:numId="43">
    <w:abstractNumId w:val="0"/>
  </w:num>
  <w:num w:numId="44">
    <w:abstractNumId w:val="19"/>
  </w:num>
  <w:num w:numId="45">
    <w:abstractNumId w:val="31"/>
  </w:num>
  <w:num w:numId="46">
    <w:abstractNumId w:val="4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cumentProtection w:edit="readOnly" w:enforcement="1" w:cryptProviderType="rsaAES" w:cryptAlgorithmClass="hash" w:cryptAlgorithmType="typeAny" w:cryptAlgorithmSid="14" w:cryptSpinCount="100000" w:hash="fRYAELt1e8XXy0AyOWkZ13DHAIHcEPqShs83M+7goIWP3mf/qAwxroAjxoOdVsi055iStKMRVG9hE3d4P77AvQ==" w:salt="HVBiCx79KjJESe1oiuTeL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B0"/>
    <w:rsid w:val="00000A2C"/>
    <w:rsid w:val="00006592"/>
    <w:rsid w:val="00021206"/>
    <w:rsid w:val="00053915"/>
    <w:rsid w:val="0008669F"/>
    <w:rsid w:val="000A5433"/>
    <w:rsid w:val="00132DBA"/>
    <w:rsid w:val="00155A36"/>
    <w:rsid w:val="0016476F"/>
    <w:rsid w:val="00175678"/>
    <w:rsid w:val="001B794B"/>
    <w:rsid w:val="001F07DC"/>
    <w:rsid w:val="002467D0"/>
    <w:rsid w:val="00281DAF"/>
    <w:rsid w:val="002918F1"/>
    <w:rsid w:val="00292727"/>
    <w:rsid w:val="0039476F"/>
    <w:rsid w:val="00394DC0"/>
    <w:rsid w:val="003A74F8"/>
    <w:rsid w:val="003B0B60"/>
    <w:rsid w:val="003D495D"/>
    <w:rsid w:val="0043047C"/>
    <w:rsid w:val="00430765"/>
    <w:rsid w:val="00436B31"/>
    <w:rsid w:val="00460B57"/>
    <w:rsid w:val="004E0A98"/>
    <w:rsid w:val="00527328"/>
    <w:rsid w:val="005432C5"/>
    <w:rsid w:val="00553FE3"/>
    <w:rsid w:val="00567C0F"/>
    <w:rsid w:val="005B0ACE"/>
    <w:rsid w:val="005C1951"/>
    <w:rsid w:val="005C5787"/>
    <w:rsid w:val="006B65DA"/>
    <w:rsid w:val="006D0926"/>
    <w:rsid w:val="00700A65"/>
    <w:rsid w:val="007016F9"/>
    <w:rsid w:val="00730408"/>
    <w:rsid w:val="0074608A"/>
    <w:rsid w:val="007939F7"/>
    <w:rsid w:val="007C182F"/>
    <w:rsid w:val="00812ADE"/>
    <w:rsid w:val="008968C5"/>
    <w:rsid w:val="00896F2B"/>
    <w:rsid w:val="008B68B6"/>
    <w:rsid w:val="008C575B"/>
    <w:rsid w:val="008F44C2"/>
    <w:rsid w:val="00917A69"/>
    <w:rsid w:val="00927AB0"/>
    <w:rsid w:val="009840E9"/>
    <w:rsid w:val="00987C9D"/>
    <w:rsid w:val="009B79FF"/>
    <w:rsid w:val="009C28E6"/>
    <w:rsid w:val="00A26B1B"/>
    <w:rsid w:val="00A9115E"/>
    <w:rsid w:val="00AE416F"/>
    <w:rsid w:val="00B56F79"/>
    <w:rsid w:val="00B76292"/>
    <w:rsid w:val="00BD75F8"/>
    <w:rsid w:val="00C10CBB"/>
    <w:rsid w:val="00C11436"/>
    <w:rsid w:val="00C24324"/>
    <w:rsid w:val="00CA4504"/>
    <w:rsid w:val="00CF6766"/>
    <w:rsid w:val="00D60829"/>
    <w:rsid w:val="00E40CDC"/>
    <w:rsid w:val="00E65124"/>
    <w:rsid w:val="00E725F2"/>
    <w:rsid w:val="00EC2223"/>
    <w:rsid w:val="00EE5E59"/>
    <w:rsid w:val="00F40691"/>
    <w:rsid w:val="00FD204F"/>
    <w:rsid w:val="00FD7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DE4A1"/>
  <w15:docId w15:val="{D361F35F-8B04-45E9-8FB2-95CEEFB0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AB0"/>
    <w:pPr>
      <w:spacing w:after="200" w:line="276" w:lineRule="auto"/>
      <w:jc w:val="both"/>
    </w:pPr>
    <w:rPr>
      <w:rFonts w:ascii="Calibri" w:eastAsia="Times New Roman" w:hAnsi="Calibri" w:cs="Times New Roman"/>
    </w:rPr>
  </w:style>
  <w:style w:type="paragraph" w:styleId="Titolo1">
    <w:name w:val="heading 1"/>
    <w:basedOn w:val="Normale"/>
    <w:next w:val="Normale"/>
    <w:link w:val="Titolo1Carattere"/>
    <w:uiPriority w:val="9"/>
    <w:qFormat/>
    <w:rsid w:val="00B76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76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2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d,h"/>
    <w:basedOn w:val="Normale"/>
    <w:link w:val="Intestazione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basedOn w:val="Carpredefinitoparagrafo"/>
    <w:link w:val="Intestazione"/>
    <w:rsid w:val="00927AB0"/>
    <w:rPr>
      <w:rFonts w:ascii="Calibri" w:eastAsia="Times New Roman" w:hAnsi="Calibri" w:cs="Times New Roman"/>
      <w:sz w:val="20"/>
      <w:szCs w:val="20"/>
      <w:lang w:eastAsia="it-IT"/>
    </w:rPr>
  </w:style>
  <w:style w:type="paragraph" w:styleId="Pidipagina">
    <w:name w:val="footer"/>
    <w:basedOn w:val="Normale"/>
    <w:link w:val="Pidipagina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basedOn w:val="Carpredefinitoparagrafo"/>
    <w:link w:val="Pidipagina"/>
    <w:rsid w:val="00927AB0"/>
    <w:rPr>
      <w:rFonts w:ascii="Calibri" w:eastAsia="Times New Roman" w:hAnsi="Calibri" w:cs="Times New Roman"/>
      <w:sz w:val="20"/>
      <w:szCs w:val="20"/>
      <w:lang w:eastAsia="it-IT"/>
    </w:rPr>
  </w:style>
  <w:style w:type="character" w:styleId="Collegamentoipertestuale">
    <w:name w:val="Hyperlink"/>
    <w:uiPriority w:val="99"/>
    <w:rsid w:val="00927AB0"/>
    <w:rPr>
      <w:rFonts w:cs="Times New Roman"/>
      <w:color w:val="0000FF"/>
      <w:u w:val="single"/>
    </w:rPr>
  </w:style>
  <w:style w:type="paragraph" w:styleId="Sommario1">
    <w:name w:val="toc 1"/>
    <w:basedOn w:val="Normale"/>
    <w:next w:val="Normale"/>
    <w:autoRedefine/>
    <w:uiPriority w:val="39"/>
    <w:rsid w:val="00927AB0"/>
    <w:pPr>
      <w:tabs>
        <w:tab w:val="left" w:pos="440"/>
        <w:tab w:val="right" w:leader="dot" w:pos="8931"/>
      </w:tabs>
      <w:spacing w:after="80" w:line="240" w:lineRule="atLeast"/>
      <w:jc w:val="left"/>
    </w:pPr>
    <w:rPr>
      <w:rFonts w:ascii="Times New Roman" w:eastAsia="Calibri" w:hAnsi="Times New Roman"/>
      <w:b/>
      <w:lang w:eastAsia="it-IT"/>
    </w:rPr>
  </w:style>
  <w:style w:type="paragraph" w:styleId="Paragrafoelenco">
    <w:name w:val="List Paragraph"/>
    <w:basedOn w:val="Normale"/>
    <w:link w:val="ParagrafoelencoCarattere"/>
    <w:uiPriority w:val="34"/>
    <w:qFormat/>
    <w:rsid w:val="00927AB0"/>
    <w:pPr>
      <w:ind w:left="720"/>
    </w:pPr>
    <w:rPr>
      <w:rFonts w:eastAsia="Calibri"/>
    </w:rPr>
  </w:style>
  <w:style w:type="character" w:styleId="Numeropagina">
    <w:name w:val="page number"/>
    <w:rsid w:val="00927AB0"/>
  </w:style>
  <w:style w:type="paragraph" w:customStyle="1" w:styleId="TESTO">
    <w:name w:val="TESTO"/>
    <w:basedOn w:val="Normale"/>
    <w:uiPriority w:val="99"/>
    <w:rsid w:val="00927AB0"/>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927AB0"/>
    <w:rPr>
      <w:rFonts w:ascii="Calibri" w:eastAsia="Calibri" w:hAnsi="Calibri" w:cs="Times New Roman"/>
    </w:rPr>
  </w:style>
  <w:style w:type="paragraph" w:customStyle="1" w:styleId="CorpoA">
    <w:name w:val="Corpo A"/>
    <w:rsid w:val="00D60829"/>
    <w:pPr>
      <w:spacing w:after="200" w:line="276" w:lineRule="auto"/>
      <w:jc w:val="both"/>
    </w:pPr>
    <w:rPr>
      <w:rFonts w:ascii="Calibri" w:eastAsia="Calibri" w:hAnsi="Calibri" w:cs="Calibri"/>
      <w:color w:val="000000"/>
      <w:u w:color="000000"/>
      <w:lang w:eastAsia="it-IT"/>
    </w:rPr>
  </w:style>
  <w:style w:type="character" w:customStyle="1" w:styleId="Titolo1Carattere">
    <w:name w:val="Titolo 1 Carattere"/>
    <w:basedOn w:val="Carpredefinitoparagrafo"/>
    <w:link w:val="Titolo1"/>
    <w:uiPriority w:val="9"/>
    <w:rsid w:val="00B7629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7629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21206"/>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021206"/>
    <w:pPr>
      <w:spacing w:after="100"/>
      <w:ind w:left="440"/>
    </w:pPr>
  </w:style>
  <w:style w:type="table" w:styleId="Grigliatabella">
    <w:name w:val="Table Grid"/>
    <w:basedOn w:val="Tabellanormale"/>
    <w:uiPriority w:val="39"/>
    <w:rsid w:val="00A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9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FF"/>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9B79FF"/>
    <w:rPr>
      <w:sz w:val="16"/>
      <w:szCs w:val="16"/>
    </w:rPr>
  </w:style>
  <w:style w:type="paragraph" w:styleId="Testocommento">
    <w:name w:val="annotation text"/>
    <w:basedOn w:val="Normale"/>
    <w:link w:val="TestocommentoCarattere"/>
    <w:uiPriority w:val="99"/>
    <w:semiHidden/>
    <w:unhideWhenUsed/>
    <w:rsid w:val="009B79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79FF"/>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B79FF"/>
    <w:rPr>
      <w:b/>
      <w:bCs/>
    </w:rPr>
  </w:style>
  <w:style w:type="character" w:customStyle="1" w:styleId="SoggettocommentoCarattere">
    <w:name w:val="Soggetto commento Carattere"/>
    <w:basedOn w:val="TestocommentoCarattere"/>
    <w:link w:val="Soggettocommento"/>
    <w:uiPriority w:val="99"/>
    <w:semiHidden/>
    <w:rsid w:val="009B79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011">
      <w:bodyDiv w:val="1"/>
      <w:marLeft w:val="0"/>
      <w:marRight w:val="0"/>
      <w:marTop w:val="0"/>
      <w:marBottom w:val="0"/>
      <w:divBdr>
        <w:top w:val="none" w:sz="0" w:space="0" w:color="auto"/>
        <w:left w:val="none" w:sz="0" w:space="0" w:color="auto"/>
        <w:bottom w:val="none" w:sz="0" w:space="0" w:color="auto"/>
        <w:right w:val="none" w:sz="0" w:space="0" w:color="auto"/>
      </w:divBdr>
    </w:div>
    <w:div w:id="1151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36B8-F555-4C11-95E9-50F3A117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5436</Words>
  <Characters>30989</Characters>
  <Application>Microsoft Office Word</Application>
  <DocSecurity>8</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Pozzi Valerio</dc:creator>
  <cp:keywords/>
  <dc:description/>
  <cp:lastModifiedBy>Coppola Mario</cp:lastModifiedBy>
  <cp:revision>8</cp:revision>
  <cp:lastPrinted>2017-03-21T15:14:00Z</cp:lastPrinted>
  <dcterms:created xsi:type="dcterms:W3CDTF">2017-03-21T15:44:00Z</dcterms:created>
  <dcterms:modified xsi:type="dcterms:W3CDTF">2017-03-30T16:11:00Z</dcterms:modified>
</cp:coreProperties>
</file>