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522F398" w14:textId="77777777" w:rsidR="00B70E0F" w:rsidRDefault="00B70E0F" w:rsidP="00B70E0F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</w:rPr>
      </w:pPr>
      <w:bookmarkStart w:id="0" w:name="_Hlk87365797"/>
      <w:r>
        <w:rPr>
          <w:rFonts w:ascii="Arial-BoldMT" w:eastAsiaTheme="minorHAnsi" w:hAnsi="Arial-BoldMT" w:cs="Arial-BoldMT"/>
          <w:b/>
          <w:bCs/>
        </w:rPr>
        <w:t>Avviso di ricerca da parte di Sport e salute S.p.A. ai sensi dell’art. 19, comma 1, D.lgs. 18</w:t>
      </w:r>
    </w:p>
    <w:p w14:paraId="45372BF9" w14:textId="3C100B75" w:rsidR="00013C6C" w:rsidRDefault="00B70E0F" w:rsidP="00B70E0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aprile 2016, n. 50, finalizzato </w:t>
      </w:r>
      <w:r>
        <w:rPr>
          <w:rFonts w:ascii="Arial-BoldMT" w:eastAsiaTheme="minorHAnsi" w:hAnsi="Arial-BoldMT" w:cs="Arial-BoldMT"/>
          <w:b/>
          <w:bCs/>
        </w:rPr>
        <w:t>all’acquisizione di una concessione d’uso e sfruttamento</w:t>
      </w:r>
      <w:r>
        <w:rPr>
          <w:rFonts w:ascii="Arial-BoldMT" w:eastAsiaTheme="minorHAnsi" w:hAnsi="Arial-BoldMT" w:cs="Arial-BoldMT"/>
          <w:b/>
          <w:bCs/>
        </w:rPr>
        <w:t xml:space="preserve"> </w:t>
      </w:r>
      <w:r>
        <w:rPr>
          <w:rFonts w:ascii="Arial" w:eastAsiaTheme="minorHAnsi" w:hAnsi="Arial" w:cs="Arial"/>
          <w:b/>
          <w:bCs/>
        </w:rPr>
        <w:t xml:space="preserve">commerciale del marchio della </w:t>
      </w:r>
      <w:r>
        <w:rPr>
          <w:rFonts w:ascii="Arial-BoldMT" w:eastAsiaTheme="minorHAnsi" w:hAnsi="Arial-BoldMT" w:cs="Arial-BoldMT"/>
          <w:b/>
          <w:bCs/>
        </w:rPr>
        <w:t>“Scuola dello Sport”</w:t>
      </w:r>
    </w:p>
    <w:bookmarkEnd w:id="0"/>
    <w:p w14:paraId="4E946577" w14:textId="77777777" w:rsidR="00B70E0F" w:rsidRPr="0040454E" w:rsidRDefault="00B70E0F" w:rsidP="00B7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20"/>
                <w:szCs w:val="20"/>
              </w:rPr>
            </w:r>
            <w:r w:rsidR="000122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12260">
              <w:rPr>
                <w:rFonts w:ascii="Arial" w:hAnsi="Arial" w:cs="Arial"/>
                <w:b/>
                <w:sz w:val="20"/>
                <w:szCs w:val="20"/>
              </w:rPr>
            </w:r>
            <w:r w:rsidR="000122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20"/>
                <w:szCs w:val="20"/>
              </w:rPr>
            </w:r>
            <w:r w:rsidR="000122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226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2260">
              <w:rPr>
                <w:rFonts w:ascii="Arial" w:hAnsi="Arial" w:cs="Arial"/>
                <w:sz w:val="14"/>
                <w:szCs w:val="14"/>
              </w:rPr>
            </w:r>
            <w:r w:rsidR="000122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12260">
        <w:rPr>
          <w:rFonts w:ascii="Arial" w:hAnsi="Arial" w:cs="Arial"/>
          <w:sz w:val="20"/>
          <w:szCs w:val="20"/>
        </w:rPr>
      </w:r>
      <w:r w:rsidR="0001226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12260">
        <w:rPr>
          <w:rFonts w:ascii="Arial" w:hAnsi="Arial" w:cs="Arial"/>
          <w:sz w:val="20"/>
          <w:szCs w:val="20"/>
        </w:rPr>
      </w:r>
      <w:r w:rsidR="0001226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12260">
        <w:rPr>
          <w:rFonts w:ascii="Arial" w:hAnsi="Arial" w:cs="Arial"/>
          <w:sz w:val="20"/>
          <w:szCs w:val="20"/>
        </w:rPr>
      </w:r>
      <w:r w:rsidR="0001226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12260">
        <w:rPr>
          <w:rFonts w:ascii="Arial" w:hAnsi="Arial" w:cs="Arial"/>
          <w:sz w:val="20"/>
          <w:szCs w:val="20"/>
        </w:rPr>
      </w:r>
      <w:r w:rsidR="0001226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68E541" w14:textId="77777777" w:rsidR="00B70E0F" w:rsidRDefault="00B70E0F" w:rsidP="00B70E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economico:</w:t>
      </w:r>
    </w:p>
    <w:p w14:paraId="0C22EE6E" w14:textId="55B4AD63" w:rsidR="00B70E0F" w:rsidRPr="00B70E0F" w:rsidRDefault="00B70E0F" w:rsidP="00B70E0F">
      <w:pPr>
        <w:spacing w:before="120" w:after="60" w:line="360" w:lineRule="auto"/>
        <w:ind w:left="993" w:hanging="438"/>
        <w:jc w:val="both"/>
        <w:rPr>
          <w:rFonts w:ascii="Arial" w:hAnsi="Arial" w:cs="Arial"/>
          <w:b/>
          <w:sz w:val="20"/>
          <w:szCs w:val="20"/>
        </w:rPr>
      </w:pPr>
      <w:r w:rsidRPr="00B70E0F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B70E0F">
        <w:rPr>
          <w:rFonts w:ascii="Arial" w:hAnsi="Arial" w:cs="Arial"/>
          <w:sz w:val="20"/>
          <w:szCs w:val="20"/>
        </w:rPr>
        <w:instrText xml:space="preserve"> FORMCHECKBOX </w:instrText>
      </w:r>
      <w:r w:rsidRPr="00B70E0F">
        <w:rPr>
          <w:rFonts w:ascii="Arial" w:hAnsi="Arial" w:cs="Arial"/>
          <w:sz w:val="20"/>
          <w:szCs w:val="20"/>
        </w:rPr>
        <w:fldChar w:fldCharType="separate"/>
      </w:r>
      <w:r w:rsidRPr="00B70E0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è un </w:t>
      </w:r>
      <w:r w:rsidRPr="00B70E0F">
        <w:rPr>
          <w:rFonts w:ascii="Arial" w:hAnsi="Arial" w:cs="Arial"/>
          <w:sz w:val="20"/>
          <w:szCs w:val="20"/>
        </w:rPr>
        <w:t>Ente formatore accreditato dal MIUR per la formazione del personale docente</w:t>
      </w:r>
    </w:p>
    <w:p w14:paraId="51871024" w14:textId="1291B9CF" w:rsidR="00B70E0F" w:rsidRDefault="00B70E0F" w:rsidP="00B70E0F">
      <w:pPr>
        <w:tabs>
          <w:tab w:val="left" w:pos="993"/>
        </w:tabs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B70E0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B70E0F">
        <w:rPr>
          <w:rFonts w:ascii="Arial" w:hAnsi="Arial" w:cs="Arial"/>
          <w:sz w:val="20"/>
          <w:szCs w:val="20"/>
        </w:rPr>
        <w:instrText xml:space="preserve"> FORMCHECKBOX </w:instrText>
      </w:r>
      <w:r w:rsidRPr="00B70E0F">
        <w:rPr>
          <w:rFonts w:ascii="Arial" w:hAnsi="Arial" w:cs="Arial"/>
          <w:sz w:val="20"/>
          <w:szCs w:val="20"/>
        </w:rPr>
        <w:fldChar w:fldCharType="separate"/>
      </w:r>
      <w:r w:rsidRPr="00B70E0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è un </w:t>
      </w:r>
      <w:r w:rsidRPr="00B70E0F">
        <w:rPr>
          <w:rFonts w:ascii="Arial" w:hAnsi="Arial" w:cs="Arial"/>
          <w:sz w:val="20"/>
          <w:szCs w:val="20"/>
        </w:rPr>
        <w:t>Editore presente in tutti i gradi scolastici dalla primaria alla scuola secondaria di</w:t>
      </w:r>
      <w:r>
        <w:rPr>
          <w:rFonts w:ascii="Arial" w:hAnsi="Arial" w:cs="Arial"/>
          <w:sz w:val="20"/>
          <w:szCs w:val="20"/>
        </w:rPr>
        <w:t xml:space="preserve"> </w:t>
      </w:r>
      <w:r w:rsidRPr="00B70E0F">
        <w:rPr>
          <w:rFonts w:ascii="Arial" w:hAnsi="Arial" w:cs="Arial"/>
          <w:sz w:val="20"/>
          <w:szCs w:val="20"/>
        </w:rPr>
        <w:t>secondo grado;</w:t>
      </w:r>
    </w:p>
    <w:p w14:paraId="46FD7CF7" w14:textId="35406D2F" w:rsidR="00B70E0F" w:rsidRPr="00B70E0F" w:rsidRDefault="00B70E0F" w:rsidP="00B70E0F">
      <w:pPr>
        <w:tabs>
          <w:tab w:val="left" w:pos="993"/>
        </w:tabs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B70E0F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B70E0F">
        <w:rPr>
          <w:rFonts w:ascii="Arial" w:hAnsi="Arial" w:cs="Arial"/>
          <w:sz w:val="20"/>
          <w:szCs w:val="20"/>
        </w:rPr>
        <w:instrText xml:space="preserve"> FORMCHECKBOX </w:instrText>
      </w:r>
      <w:r w:rsidRPr="00B70E0F">
        <w:rPr>
          <w:rFonts w:ascii="Arial" w:hAnsi="Arial" w:cs="Arial"/>
          <w:sz w:val="20"/>
          <w:szCs w:val="20"/>
        </w:rPr>
        <w:fldChar w:fldCharType="separate"/>
      </w:r>
      <w:r w:rsidRPr="00B70E0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è un </w:t>
      </w:r>
      <w:r w:rsidRPr="00B70E0F">
        <w:rPr>
          <w:rFonts w:ascii="Arial" w:hAnsi="Arial" w:cs="Arial"/>
          <w:sz w:val="20"/>
          <w:szCs w:val="20"/>
        </w:rPr>
        <w:t>Editore fra i principali player nell’editoria scolastica con riferimento al mercato italiano,</w:t>
      </w:r>
      <w:r>
        <w:rPr>
          <w:rFonts w:ascii="Arial" w:hAnsi="Arial" w:cs="Arial"/>
          <w:sz w:val="20"/>
          <w:szCs w:val="20"/>
        </w:rPr>
        <w:t xml:space="preserve"> </w:t>
      </w:r>
      <w:r w:rsidRPr="00B70E0F">
        <w:rPr>
          <w:rFonts w:ascii="Arial" w:hAnsi="Arial" w:cs="Arial"/>
          <w:sz w:val="20"/>
          <w:szCs w:val="20"/>
        </w:rPr>
        <w:t>con esperienza di testi sportivi e quote rilevanti nel comparto scolastico delle scienze</w:t>
      </w:r>
      <w:r>
        <w:rPr>
          <w:rFonts w:ascii="Arial" w:hAnsi="Arial" w:cs="Arial"/>
          <w:sz w:val="20"/>
          <w:szCs w:val="20"/>
        </w:rPr>
        <w:t xml:space="preserve"> </w:t>
      </w:r>
      <w:r w:rsidRPr="00B70E0F">
        <w:rPr>
          <w:rFonts w:ascii="Arial" w:hAnsi="Arial" w:cs="Arial"/>
          <w:sz w:val="20"/>
          <w:szCs w:val="20"/>
        </w:rPr>
        <w:t>motorie;</w:t>
      </w:r>
    </w:p>
    <w:p w14:paraId="3EA7C855" w14:textId="1BE480C7" w:rsidR="00B70E0F" w:rsidRDefault="00B70E0F" w:rsidP="00B70E0F">
      <w:pPr>
        <w:tabs>
          <w:tab w:val="left" w:pos="993"/>
        </w:tabs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B70E0F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B70E0F">
        <w:rPr>
          <w:rFonts w:ascii="Arial" w:hAnsi="Arial" w:cs="Arial"/>
          <w:sz w:val="20"/>
          <w:szCs w:val="20"/>
        </w:rPr>
        <w:instrText xml:space="preserve"> FORMCHECKBOX </w:instrText>
      </w:r>
      <w:r w:rsidRPr="00B70E0F">
        <w:rPr>
          <w:rFonts w:ascii="Arial" w:hAnsi="Arial" w:cs="Arial"/>
          <w:sz w:val="20"/>
          <w:szCs w:val="20"/>
        </w:rPr>
        <w:fldChar w:fldCharType="separate"/>
      </w:r>
      <w:r w:rsidRPr="00B70E0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è una casa editrice</w:t>
      </w:r>
      <w:r w:rsidRPr="00B7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B70E0F">
        <w:rPr>
          <w:rFonts w:ascii="Arial" w:hAnsi="Arial" w:cs="Arial"/>
          <w:sz w:val="20"/>
          <w:szCs w:val="20"/>
        </w:rPr>
        <w:t>nternazional</w:t>
      </w:r>
      <w:r>
        <w:rPr>
          <w:rFonts w:ascii="Arial" w:hAnsi="Arial" w:cs="Arial"/>
          <w:sz w:val="20"/>
          <w:szCs w:val="20"/>
        </w:rPr>
        <w:t>e;</w:t>
      </w:r>
    </w:p>
    <w:p w14:paraId="33E495BE" w14:textId="6D012EF7" w:rsidR="00D1573D" w:rsidRPr="00182F1A" w:rsidRDefault="00A6104B" w:rsidP="00B70E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B70E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B70E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B70E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B70E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B19A" w14:textId="77777777" w:rsidR="003B1DB9" w:rsidRDefault="003B1DB9" w:rsidP="00A6104B">
      <w:pPr>
        <w:spacing w:after="0" w:line="240" w:lineRule="auto"/>
      </w:pPr>
      <w:r>
        <w:separator/>
      </w:r>
    </w:p>
  </w:endnote>
  <w:endnote w:type="continuationSeparator" w:id="0">
    <w:p w14:paraId="0D0E5BD7" w14:textId="77777777" w:rsidR="003B1DB9" w:rsidRDefault="003B1DB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BAE16" w14:textId="77777777" w:rsidR="003B1DB9" w:rsidRDefault="003B1DB9" w:rsidP="00A6104B">
      <w:pPr>
        <w:spacing w:after="0" w:line="240" w:lineRule="auto"/>
      </w:pPr>
      <w:r>
        <w:separator/>
      </w:r>
    </w:p>
  </w:footnote>
  <w:footnote w:type="continuationSeparator" w:id="0">
    <w:p w14:paraId="60D7C3FB" w14:textId="77777777" w:rsidR="003B1DB9" w:rsidRDefault="003B1DB9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1F004DA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9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8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30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OHDuzKTwxCS61OyxYj3wamja9e1NmvF5+f6Imte7srkf1gJlO856xalXBxE+V8OHB0qS+jUyVxHsoXE8vgzdA==" w:salt="u6t5+Hlps/f/xkTncGTA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260"/>
    <w:rsid w:val="00012FC8"/>
    <w:rsid w:val="00013C6C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1DB9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0E0F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33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25</cp:revision>
  <cp:lastPrinted>2015-07-15T17:08:00Z</cp:lastPrinted>
  <dcterms:created xsi:type="dcterms:W3CDTF">2017-11-20T16:39:00Z</dcterms:created>
  <dcterms:modified xsi:type="dcterms:W3CDTF">2021-11-09T14:59:00Z</dcterms:modified>
</cp:coreProperties>
</file>