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511902D3"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D66EC6" w:rsidRPr="00D66EC6">
              <w:rPr>
                <w:rFonts w:ascii="Arial" w:hAnsi="Arial" w:cs="Arial"/>
                <w:b/>
                <w:color w:val="auto"/>
                <w:sz w:val="12"/>
                <w:szCs w:val="12"/>
              </w:rPr>
              <w:t>lavori di manutenzione globale edile e tecnologica, compresa la conduzione dei gruppi di condizionamento, le centrali termic</w:t>
            </w:r>
            <w:r w:rsidR="00D66EC6">
              <w:rPr>
                <w:rFonts w:ascii="Arial" w:hAnsi="Arial" w:cs="Arial"/>
                <w:b/>
                <w:color w:val="auto"/>
                <w:sz w:val="12"/>
                <w:szCs w:val="12"/>
              </w:rPr>
              <w:t>he e l’assunzione del ruolo di Terzo R</w:t>
            </w:r>
            <w:r w:rsidR="00D66EC6" w:rsidRPr="00D66EC6">
              <w:rPr>
                <w:rFonts w:ascii="Arial" w:hAnsi="Arial" w:cs="Arial"/>
                <w:b/>
                <w:color w:val="auto"/>
                <w:sz w:val="12"/>
                <w:szCs w:val="12"/>
              </w:rPr>
              <w:t>esponsabile, per un periodo di due anni a decorrere dal verbale di consegna dei lavori, da eseguirsi presso gli immobili del Coni nelle regioni Campania e Basilicata. R.A. 022/17/PN. CIG: 6978057ACB</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7C23784E"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D66EC6" w:rsidRPr="00D66EC6">
              <w:rPr>
                <w:rFonts w:ascii="Arial" w:hAnsi="Arial" w:cs="Arial"/>
                <w:b/>
                <w:color w:val="auto"/>
                <w:sz w:val="12"/>
                <w:szCs w:val="12"/>
              </w:rPr>
              <w:t>Lavori di manutenzione globale edile e tecnologica, compresa la conduzione dei gruppi di condizionamento, le centrali termiche e l’assunzione del ruolo di Terzo Responsabile, per un periodo di due anni a decorrere dal verbale di consegna dei lavori, da eseguirsi presso gli immobili del Coni nelle regioni Campania e Basilicata.</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379EFD41"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D66EC6" w:rsidRPr="00D66EC6">
              <w:rPr>
                <w:rFonts w:ascii="Arial" w:hAnsi="Arial" w:cs="Arial"/>
                <w:b/>
                <w:color w:val="auto"/>
                <w:sz w:val="12"/>
                <w:szCs w:val="12"/>
              </w:rPr>
              <w:t>R.A. 022/17/PN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665E3072"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D66EC6" w:rsidRPr="00D66EC6">
              <w:rPr>
                <w:rFonts w:ascii="Arial" w:hAnsi="Arial" w:cs="Arial"/>
                <w:b/>
                <w:color w:val="auto"/>
                <w:sz w:val="12"/>
                <w:szCs w:val="12"/>
              </w:rPr>
              <w:t>6978057ACB</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3C5818">
        <w:trPr>
          <w:trHeight w:val="67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3C5818">
        <w:trPr>
          <w:trHeight w:val="350"/>
        </w:trPr>
        <w:tc>
          <w:tcPr>
            <w:tcW w:w="4953" w:type="dxa"/>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3C5818">
        <w:trPr>
          <w:trHeight w:val="470"/>
        </w:trPr>
        <w:tc>
          <w:tcPr>
            <w:tcW w:w="4953" w:type="dxa"/>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3C5818">
        <w:trPr>
          <w:trHeight w:val="400"/>
        </w:trPr>
        <w:tc>
          <w:tcPr>
            <w:tcW w:w="4953" w:type="dxa"/>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3C5818">
        <w:trPr>
          <w:trHeight w:val="650"/>
        </w:trPr>
        <w:tc>
          <w:tcPr>
            <w:tcW w:w="4953" w:type="dxa"/>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DEEAF6" w:themeFill="accent1" w:themeFillTint="33"/>
          </w:tcPr>
          <w:p w14:paraId="111D78AC" w14:textId="30B01104"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D66EC6" w:rsidRPr="003C5818">
              <w:rPr>
                <w:rFonts w:ascii="Arial" w:hAnsi="Arial" w:cs="Arial"/>
                <w:color w:val="auto"/>
                <w:sz w:val="12"/>
                <w:szCs w:val="12"/>
              </w:rPr>
              <w:t>Indirizzo</w:t>
            </w:r>
            <w:r w:rsidRPr="003C5818">
              <w:rPr>
                <w:rFonts w:ascii="Arial" w:hAnsi="Arial" w:cs="Arial"/>
                <w:color w:val="auto"/>
                <w:sz w:val="12"/>
                <w:szCs w:val="12"/>
              </w:rPr>
              <w:t xml:space="preserve">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3C5818">
        <w:trPr>
          <w:trHeight w:val="504"/>
        </w:trPr>
        <w:tc>
          <w:tcPr>
            <w:tcW w:w="4953" w:type="dxa"/>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3C5818">
        <w:trPr>
          <w:trHeight w:val="52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356C3">
              <w:rPr>
                <w:rFonts w:ascii="Arial" w:hAnsi="Arial" w:cs="Arial"/>
                <w:color w:val="auto"/>
                <w:sz w:val="12"/>
                <w:szCs w:val="12"/>
              </w:rPr>
            </w:r>
            <w:r w:rsidR="000356C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356C3">
              <w:rPr>
                <w:rFonts w:ascii="Arial" w:hAnsi="Arial" w:cs="Arial"/>
                <w:b/>
                <w:color w:val="auto"/>
                <w:sz w:val="12"/>
                <w:szCs w:val="12"/>
              </w:rPr>
            </w:r>
            <w:r w:rsidR="000356C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1F9A9601"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D66EC6">
        <w:rPr>
          <w:rFonts w:ascii="Arial" w:hAnsi="Arial" w:cs="Arial"/>
          <w:b/>
          <w:color w:val="auto"/>
          <w:sz w:val="12"/>
          <w:szCs w:val="12"/>
        </w:rPr>
        <w:t>[</w:t>
      </w:r>
      <w:r w:rsidR="00D66EC6">
        <w:rPr>
          <w:rFonts w:ascii="Arial" w:hAnsi="Arial" w:cs="Arial"/>
          <w:b/>
          <w:color w:val="auto"/>
          <w:sz w:val="12"/>
          <w:szCs w:val="12"/>
        </w:rPr>
        <w:t>L</w:t>
      </w:r>
      <w:r w:rsidR="00D66EC6" w:rsidRPr="00D66EC6">
        <w:rPr>
          <w:rFonts w:ascii="Arial" w:hAnsi="Arial" w:cs="Arial"/>
          <w:b/>
          <w:color w:val="auto"/>
          <w:sz w:val="12"/>
          <w:szCs w:val="12"/>
        </w:rPr>
        <w:t>avori di manutenzione globale edile e tecnologica, compresa la conduzione dei gruppi di condizionamento, le centrali termic</w:t>
      </w:r>
      <w:r w:rsidR="00D66EC6">
        <w:rPr>
          <w:rFonts w:ascii="Arial" w:hAnsi="Arial" w:cs="Arial"/>
          <w:b/>
          <w:color w:val="auto"/>
          <w:sz w:val="12"/>
          <w:szCs w:val="12"/>
        </w:rPr>
        <w:t>he e l’assunzione del ruolo di Terzo R</w:t>
      </w:r>
      <w:r w:rsidR="00D66EC6" w:rsidRPr="00D66EC6">
        <w:rPr>
          <w:rFonts w:ascii="Arial" w:hAnsi="Arial" w:cs="Arial"/>
          <w:b/>
          <w:color w:val="auto"/>
          <w:sz w:val="12"/>
          <w:szCs w:val="12"/>
        </w:rPr>
        <w:t>esponsabile, per un periodo di due anni a decorrere dal verbale di consegna dei lavori, da eseguirsi presso gli immobili del Coni nelle regioni Campania e Basilicata. R.A. 022/17/PN. CIG: 6978057ACB</w:t>
      </w:r>
      <w:r w:rsidRPr="00D66EC6">
        <w:rPr>
          <w:rFonts w:ascii="Arial" w:hAnsi="Arial" w:cs="Arial"/>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AE307" w14:textId="77777777" w:rsidR="000356C3" w:rsidRDefault="000356C3">
      <w:pPr>
        <w:spacing w:before="0" w:after="0"/>
      </w:pPr>
      <w:r>
        <w:separator/>
      </w:r>
    </w:p>
  </w:endnote>
  <w:endnote w:type="continuationSeparator" w:id="0">
    <w:p w14:paraId="672BB3DC" w14:textId="77777777" w:rsidR="000356C3" w:rsidRDefault="000356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544B0">
      <w:rPr>
        <w:rFonts w:ascii="Calibri" w:hAnsi="Calibri"/>
        <w:noProof/>
        <w:sz w:val="20"/>
        <w:szCs w:val="20"/>
      </w:rPr>
      <w:t>18</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C5A4D" w14:textId="77777777" w:rsidR="000356C3" w:rsidRDefault="000356C3">
      <w:pPr>
        <w:spacing w:before="0" w:after="0"/>
      </w:pPr>
      <w:r>
        <w:separator/>
      </w:r>
    </w:p>
  </w:footnote>
  <w:footnote w:type="continuationSeparator" w:id="0">
    <w:p w14:paraId="7D07F649" w14:textId="77777777" w:rsidR="000356C3" w:rsidRDefault="000356C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OCOUz0IP0K/UV8ZNPVPk2Fd0O8RlmHAP/z4lTh1Hu/vHmSgYpuwpS2ECflp+/CO7TvEfmp+CgR/zlrGj0ZxdfQ==" w:salt="6EszAgn3zeNSjKcZhKSNH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356C3"/>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516CEA"/>
    <w:rsid w:val="00526380"/>
    <w:rsid w:val="005309A4"/>
    <w:rsid w:val="005544B0"/>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66EC6"/>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17F77-2FAA-45D7-8C7B-77B128D6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34</TotalTime>
  <Pages>18</Pages>
  <Words>9804</Words>
  <Characters>55883</Characters>
  <Application>Microsoft Office Word</Application>
  <DocSecurity>0</DocSecurity>
  <Lines>465</Lines>
  <Paragraphs>131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65556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Lemmo Giuseppe</cp:lastModifiedBy>
  <cp:revision>9</cp:revision>
  <cp:lastPrinted>2016-08-31T08:45:00Z</cp:lastPrinted>
  <dcterms:created xsi:type="dcterms:W3CDTF">2016-09-02T14:05:00Z</dcterms:created>
  <dcterms:modified xsi:type="dcterms:W3CDTF">2017-02-24T11:08:00Z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