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65E9E1C1"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F11665" w:rsidRPr="0083773D">
              <w:rPr>
                <w:rFonts w:ascii="Arial" w:hAnsi="Arial" w:cs="Arial"/>
                <w:b/>
                <w:color w:val="FF0000"/>
                <w:sz w:val="12"/>
                <w:szCs w:val="12"/>
              </w:rPr>
              <w:t>Procedura negoziata per la realizzazione di servizi di monitoraggio e analisi in via continuativa dell’esposizione e del valore pubblicitario dei marchi del Coni e dei suoi Sponsor. CIG  7133399B11 R.A. 039/17/PN</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F11665">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F11665">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F11665">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F11665">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F11665">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58524254" w:rsidR="00A23B3E" w:rsidRPr="003C5818" w:rsidRDefault="00F503D0" w:rsidP="00F11665">
            <w:pPr>
              <w:rPr>
                <w:rFonts w:ascii="Arial" w:hAnsi="Arial" w:cs="Arial"/>
                <w:color w:val="auto"/>
                <w:sz w:val="12"/>
                <w:szCs w:val="12"/>
              </w:rPr>
            </w:pPr>
            <w:r w:rsidRPr="003C5818">
              <w:rPr>
                <w:rFonts w:ascii="Arial" w:hAnsi="Arial" w:cs="Arial"/>
                <w:color w:val="auto"/>
                <w:sz w:val="12"/>
                <w:szCs w:val="12"/>
              </w:rPr>
              <w:t>[</w:t>
            </w:r>
            <w:r w:rsidR="00F11665" w:rsidRPr="0083773D">
              <w:rPr>
                <w:rFonts w:ascii="Arial" w:hAnsi="Arial" w:cs="Arial"/>
                <w:b/>
                <w:color w:val="FF0000"/>
                <w:sz w:val="12"/>
                <w:szCs w:val="12"/>
              </w:rPr>
              <w:t>Procedura negoziata per la realizzazione di servizi di monitoraggio e analisi in via continuativa dell’esposizione e del valore pubblicitario dei marchi del Coni e dei suoi Sponsor. CIG  7133399B11 R.A. 039/17/PN</w:t>
            </w:r>
          </w:p>
        </w:tc>
      </w:tr>
      <w:tr w:rsidR="00F11665" w:rsidRPr="003C5818" w14:paraId="3B4BD712" w14:textId="77777777" w:rsidTr="00F11665">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F11665" w:rsidRPr="003C5818" w:rsidRDefault="00F11665" w:rsidP="00F11665">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6518DB47" w:rsidR="00F11665" w:rsidRPr="00F11665" w:rsidRDefault="00F11665" w:rsidP="00F11665">
            <w:pPr>
              <w:rPr>
                <w:rFonts w:ascii="Arial" w:hAnsi="Arial" w:cs="Arial"/>
                <w:color w:val="FF0000"/>
                <w:sz w:val="12"/>
                <w:szCs w:val="12"/>
              </w:rPr>
            </w:pPr>
            <w:r w:rsidRPr="00F11665">
              <w:rPr>
                <w:rFonts w:ascii="Arial" w:hAnsi="Arial" w:cs="Arial"/>
                <w:b/>
                <w:color w:val="FF0000"/>
                <w:sz w:val="12"/>
                <w:szCs w:val="12"/>
              </w:rPr>
              <w:t xml:space="preserve">R.A 039/17/PN </w:t>
            </w:r>
          </w:p>
        </w:tc>
      </w:tr>
      <w:tr w:rsidR="00A23B3E" w:rsidRPr="003C5818" w14:paraId="38D919B1" w14:textId="77777777" w:rsidTr="00F11665">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7AA5D31D" w:rsidR="00A23B3E" w:rsidRPr="00F11665" w:rsidRDefault="00F11665" w:rsidP="007976F8">
            <w:pPr>
              <w:rPr>
                <w:rFonts w:ascii="Arial" w:hAnsi="Arial" w:cs="Arial"/>
                <w:color w:val="FF0000"/>
                <w:sz w:val="12"/>
                <w:szCs w:val="12"/>
              </w:rPr>
            </w:pPr>
            <w:r w:rsidRPr="00F11665">
              <w:rPr>
                <w:rFonts w:ascii="Arial" w:hAnsi="Arial" w:cs="Arial"/>
                <w:b/>
                <w:color w:val="FF0000"/>
                <w:sz w:val="12"/>
                <w:szCs w:val="12"/>
              </w:rPr>
              <w:t>7133399B11</w:t>
            </w:r>
          </w:p>
        </w:tc>
      </w:tr>
      <w:tr w:rsidR="00C84200" w:rsidRPr="003C5818" w14:paraId="4A789471" w14:textId="77777777" w:rsidTr="00F11665">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F11665">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F11665">
        <w:trPr>
          <w:trHeight w:val="670"/>
        </w:trPr>
        <w:tc>
          <w:tcPr>
            <w:tcW w:w="4953" w:type="dxa"/>
            <w:tcBorders>
              <w:top w:val="single" w:sz="4" w:space="0" w:color="00000A"/>
              <w:left w:val="single" w:sz="4" w:space="0" w:color="00000A"/>
              <w:right w:val="single" w:sz="4" w:space="0" w:color="00000A"/>
            </w:tcBorders>
            <w:shd w:val="clear" w:color="auto" w:fill="FFFFFF" w:themeFill="background1"/>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FFFFFF" w:themeFill="background1"/>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F11665">
        <w:trPr>
          <w:trHeight w:val="350"/>
        </w:trPr>
        <w:tc>
          <w:tcPr>
            <w:tcW w:w="4953" w:type="dxa"/>
            <w:tcBorders>
              <w:left w:val="single" w:sz="4" w:space="0" w:color="00000A"/>
              <w:right w:val="single" w:sz="4" w:space="0" w:color="00000A"/>
            </w:tcBorders>
            <w:shd w:val="clear" w:color="auto" w:fill="FFFFFF" w:themeFill="background1"/>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FFFFFF" w:themeFill="background1"/>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F11665">
        <w:trPr>
          <w:trHeight w:val="470"/>
        </w:trPr>
        <w:tc>
          <w:tcPr>
            <w:tcW w:w="4953" w:type="dxa"/>
            <w:tcBorders>
              <w:left w:val="single" w:sz="4" w:space="0" w:color="00000A"/>
              <w:right w:val="single" w:sz="4" w:space="0" w:color="00000A"/>
            </w:tcBorders>
            <w:shd w:val="clear" w:color="auto" w:fill="FFFFFF" w:themeFill="background1"/>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FFFFFF" w:themeFill="background1"/>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F11665">
        <w:trPr>
          <w:trHeight w:val="400"/>
        </w:trPr>
        <w:tc>
          <w:tcPr>
            <w:tcW w:w="4953" w:type="dxa"/>
            <w:tcBorders>
              <w:left w:val="single" w:sz="4" w:space="0" w:color="00000A"/>
              <w:right w:val="single" w:sz="4" w:space="0" w:color="00000A"/>
            </w:tcBorders>
            <w:shd w:val="clear" w:color="auto" w:fill="FFFFFF" w:themeFill="background1"/>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hemeFill="background1"/>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F11665">
        <w:trPr>
          <w:trHeight w:val="650"/>
        </w:trPr>
        <w:tc>
          <w:tcPr>
            <w:tcW w:w="4953" w:type="dxa"/>
            <w:tcBorders>
              <w:left w:val="single" w:sz="4" w:space="0" w:color="00000A"/>
              <w:right w:val="single" w:sz="4" w:space="0" w:color="00000A"/>
            </w:tcBorders>
            <w:shd w:val="clear" w:color="auto" w:fill="FFFFFF" w:themeFill="background1"/>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FFFFFF" w:themeFill="background1"/>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F11665">
        <w:trPr>
          <w:trHeight w:val="720"/>
        </w:trPr>
        <w:tc>
          <w:tcPr>
            <w:tcW w:w="4953" w:type="dxa"/>
            <w:tcBorders>
              <w:left w:val="single" w:sz="4" w:space="0" w:color="00000A"/>
              <w:right w:val="single" w:sz="4" w:space="0" w:color="00000A"/>
            </w:tcBorders>
            <w:shd w:val="clear" w:color="auto" w:fill="FFFFFF" w:themeFill="background1"/>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FFFFFF" w:themeFill="background1"/>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F11665">
        <w:trPr>
          <w:trHeight w:val="504"/>
        </w:trPr>
        <w:tc>
          <w:tcPr>
            <w:tcW w:w="4953" w:type="dxa"/>
            <w:tcBorders>
              <w:left w:val="single" w:sz="4" w:space="0" w:color="00000A"/>
              <w:right w:val="single" w:sz="4" w:space="0" w:color="00000A"/>
            </w:tcBorders>
            <w:shd w:val="clear" w:color="auto" w:fill="FFFFFF" w:themeFill="background1"/>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FFFFFF" w:themeFill="background1"/>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F11665">
        <w:trPr>
          <w:trHeight w:val="520"/>
        </w:trPr>
        <w:tc>
          <w:tcPr>
            <w:tcW w:w="4953" w:type="dxa"/>
            <w:tcBorders>
              <w:left w:val="single" w:sz="4" w:space="0" w:color="00000A"/>
              <w:bottom w:val="single" w:sz="4" w:space="0" w:color="00000A"/>
              <w:right w:val="single" w:sz="4" w:space="0" w:color="00000A"/>
            </w:tcBorders>
            <w:shd w:val="clear" w:color="auto" w:fill="FFFFFF" w:themeFill="background1"/>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FFFFFF" w:themeFill="background1"/>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474C0D">
        <w:trPr>
          <w:trHeight w:val="284"/>
        </w:trPr>
        <w:tc>
          <w:tcPr>
            <w:tcW w:w="4953" w:type="dxa"/>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3C5818">
        <w:trPr>
          <w:trHeight w:val="418"/>
        </w:trPr>
        <w:tc>
          <w:tcPr>
            <w:tcW w:w="4953" w:type="dxa"/>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3C5818">
        <w:trPr>
          <w:trHeight w:val="763"/>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F11665">
              <w:rPr>
                <w:rFonts w:ascii="Arial" w:hAnsi="Arial" w:cs="Arial"/>
                <w:color w:val="auto"/>
                <w:sz w:val="12"/>
                <w:szCs w:val="12"/>
              </w:rPr>
            </w:r>
            <w:r w:rsidR="00F1166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6382619" w:rsidR="00A23B3E" w:rsidRPr="003C5818" w:rsidRDefault="004E1937" w:rsidP="004E1937">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f-ter</w:t>
            </w:r>
            <w:r>
              <w:rPr>
                <w:rFonts w:ascii="Arial" w:hAnsi="Arial" w:cs="Arial"/>
                <w:b/>
                <w:color w:val="auto"/>
                <w:sz w:val="12"/>
                <w:szCs w:val="12"/>
              </w:rPr>
              <w:t xml:space="preserve">, </w:t>
            </w:r>
            <w:r w:rsidRPr="004E1937">
              <w:rPr>
                <w:rFonts w:ascii="Arial" w:hAnsi="Arial" w:cs="Arial"/>
                <w:b/>
                <w:color w:val="auto"/>
                <w:sz w:val="12"/>
                <w:szCs w:val="12"/>
              </w:rPr>
              <w:t>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3E07FA61" w:rsidR="00A23B3E" w:rsidRPr="003C5818" w:rsidRDefault="004E1937" w:rsidP="004E1937">
            <w:pPr>
              <w:jc w:val="both"/>
              <w:rPr>
                <w:rFonts w:ascii="Arial" w:hAnsi="Arial" w:cs="Arial"/>
                <w:color w:val="auto"/>
                <w:sz w:val="12"/>
                <w:szCs w:val="12"/>
              </w:rPr>
            </w:pPr>
            <w:r w:rsidRPr="004E1937">
              <w:rPr>
                <w:rFonts w:ascii="Arial" w:hAnsi="Arial" w:cs="Arial"/>
                <w:color w:val="auto"/>
                <w:sz w:val="12"/>
                <w:szCs w:val="12"/>
              </w:rPr>
              <w:t>Sussistono  a carico dei soggetti di cui all’art. 80, comma 3, del Codice cause di decadenza</w:t>
            </w:r>
            <w:r>
              <w:rPr>
                <w:rFonts w:ascii="Arial" w:hAnsi="Arial" w:cs="Arial"/>
                <w:color w:val="auto"/>
                <w:sz w:val="12"/>
                <w:szCs w:val="12"/>
              </w:rPr>
              <w:t xml:space="preserv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542C56A9" w:rsidR="00D77666" w:rsidRPr="003C5818" w:rsidRDefault="004E1937" w:rsidP="004E1937">
            <w:pPr>
              <w:pStyle w:val="NormaleWeb1"/>
              <w:numPr>
                <w:ilvl w:val="0"/>
                <w:numId w:val="4"/>
              </w:numPr>
              <w:spacing w:before="120" w:after="120"/>
              <w:ind w:left="190" w:hanging="190"/>
              <w:jc w:val="both"/>
              <w:rPr>
                <w:rFonts w:ascii="Arial" w:hAnsi="Arial" w:cs="Arial"/>
                <w:color w:val="auto"/>
                <w:sz w:val="12"/>
                <w:szCs w:val="12"/>
              </w:rPr>
            </w:pPr>
            <w:r w:rsidRPr="004E1937">
              <w:rPr>
                <w:rFonts w:ascii="Arial" w:hAnsi="Arial" w:cs="Arial"/>
                <w:color w:val="auto"/>
                <w:sz w:val="12"/>
                <w:szCs w:val="12"/>
              </w:rPr>
              <w:lastRenderedPageBreak/>
              <w:t>è iscritto nel casellario informatico tenuto dall’Osservatorio dell’ANAC per aver presentato false dichiarazioni o falsa documentazione nelle procedure di gara e negli affidamenti di subappalti oppure ai fini del rilascio dell’attestazione di qualificazione, per il periodo durante il quale perdura l’iscrizione (Articolo 8</w:t>
            </w:r>
            <w:r>
              <w:rPr>
                <w:rFonts w:ascii="Arial" w:hAnsi="Arial" w:cs="Arial"/>
                <w:color w:val="auto"/>
                <w:sz w:val="12"/>
                <w:szCs w:val="12"/>
              </w:rPr>
              <w:t>0, comma 5, lettera f-ter) e g)</w:t>
            </w:r>
            <w:r w:rsidR="00D77666"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4"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77666" w:rsidRPr="003C5818" w:rsidRDefault="00D77666" w:rsidP="004E1937">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F11665">
              <w:rPr>
                <w:rFonts w:ascii="Arial" w:hAnsi="Arial" w:cs="Arial"/>
                <w:b/>
                <w:color w:val="auto"/>
                <w:sz w:val="12"/>
                <w:szCs w:val="12"/>
              </w:rPr>
            </w:r>
            <w:r w:rsidR="00F1166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3803023D"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F11665" w:rsidRPr="0083773D">
        <w:rPr>
          <w:rFonts w:ascii="Arial" w:hAnsi="Arial" w:cs="Arial"/>
          <w:b/>
          <w:color w:val="FF0000"/>
          <w:sz w:val="12"/>
          <w:szCs w:val="12"/>
        </w:rPr>
        <w:t>Procedura negoziata per la realizzazione di servizi di monitoraggio e analisi in via continuativa dell’esposizione e del valore pubblicitario dei marchi del Coni e dei suoi Sponsor. CIG  7133399B11 R.A. 039/17/PN</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11665">
      <w:rPr>
        <w:rFonts w:ascii="Calibri" w:hAnsi="Calibri"/>
        <w:noProof/>
        <w:sz w:val="20"/>
        <w:szCs w:val="20"/>
      </w:rPr>
      <w:t>17</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F11665" w:rsidRPr="002C6BEF" w:rsidRDefault="00F1166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Lvekk6coI3+2f9o80NyoRpk2xZTLxbmI6Mz30BhpsfZbFUFJxQICtyW9tnRXTScDavK+Qgide2UTAXnGcZIl4g==" w:salt="LxldmDFMY1Wsw5/wLV09c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34D1"/>
    <w:rsid w:val="00474C0D"/>
    <w:rsid w:val="004C4C2B"/>
    <w:rsid w:val="004E1937"/>
    <w:rsid w:val="00516CEA"/>
    <w:rsid w:val="00526380"/>
    <w:rsid w:val="005309A4"/>
    <w:rsid w:val="00574701"/>
    <w:rsid w:val="0058406C"/>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4744"/>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11665"/>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8341-6B7D-4101-BEB1-25BE828F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8</TotalTime>
  <Pages>18</Pages>
  <Words>9789</Words>
  <Characters>55801</Characters>
  <Application>Microsoft Office Word</Application>
  <DocSecurity>0</DocSecurity>
  <Lines>465</Lines>
  <Paragraphs>130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65460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4</cp:revision>
  <cp:lastPrinted>2016-08-31T08:45:00Z</cp:lastPrinted>
  <dcterms:created xsi:type="dcterms:W3CDTF">2017-05-23T16:30:00Z</dcterms:created>
  <dcterms:modified xsi:type="dcterms:W3CDTF">2017-07-06T13:23:00Z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