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A048F96"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A01AE9" w:rsidRPr="00A01AE9">
              <w:rPr>
                <w:rFonts w:ascii="Arial" w:hAnsi="Arial" w:cs="Arial"/>
                <w:b/>
                <w:color w:val="auto"/>
                <w:sz w:val="12"/>
                <w:szCs w:val="12"/>
              </w:rPr>
              <w:t>Procedura negoziata, in modalità telematica, relativa all’affidamento dei lavori di rifacimento campi da rugby n. 1 e 2 presso il Centro di Preparazione Olimpica “Giulio Onesti”. R.A. 050/17/PN. CIG: 710544705C</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DC6A469" w:rsidR="00A23B3E" w:rsidRPr="003C5818" w:rsidRDefault="00F503D0" w:rsidP="00A01AE9">
            <w:pPr>
              <w:rPr>
                <w:rFonts w:ascii="Arial" w:hAnsi="Arial" w:cs="Arial"/>
                <w:color w:val="auto"/>
                <w:sz w:val="12"/>
                <w:szCs w:val="12"/>
              </w:rPr>
            </w:pPr>
            <w:r w:rsidRPr="003C5818">
              <w:rPr>
                <w:rFonts w:ascii="Arial" w:hAnsi="Arial" w:cs="Arial"/>
                <w:color w:val="auto"/>
                <w:sz w:val="12"/>
                <w:szCs w:val="12"/>
              </w:rPr>
              <w:t>[</w:t>
            </w:r>
            <w:r w:rsidR="00A01AE9" w:rsidRPr="00A01AE9">
              <w:rPr>
                <w:rFonts w:ascii="Arial" w:hAnsi="Arial" w:cs="Arial"/>
                <w:color w:val="auto"/>
                <w:sz w:val="12"/>
                <w:szCs w:val="12"/>
              </w:rPr>
              <w:t>Procedura negoziata, in modalità telematica, relativa all’affidamento dei lavori di rifacimento campi da rugby n. 1 e 2 presso il Centro di Preparazione Olimpica “Giulio Onesti”.</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98F5C6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01AE9" w:rsidRPr="00A01AE9">
              <w:rPr>
                <w:rFonts w:ascii="Arial" w:hAnsi="Arial" w:cs="Arial"/>
                <w:color w:val="auto"/>
                <w:sz w:val="12"/>
                <w:szCs w:val="12"/>
              </w:rPr>
              <w:t>R.A. 050/17/PN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76BCDE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01AE9" w:rsidRPr="00A01AE9">
              <w:rPr>
                <w:rFonts w:ascii="Arial" w:hAnsi="Arial" w:cs="Arial"/>
                <w:color w:val="auto"/>
                <w:sz w:val="12"/>
                <w:szCs w:val="12"/>
              </w:rPr>
              <w:t>710544705C</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01AE9">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01AE9">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BA6877"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BA6877">
              <w:rPr>
                <w:rFonts w:ascii="Arial" w:hAnsi="Arial" w:cs="Arial"/>
                <w:b/>
                <w:color w:val="auto"/>
                <w:w w:val="0"/>
                <w:sz w:val="12"/>
                <w:szCs w:val="12"/>
              </w:rPr>
              <w:t xml:space="preserve">Si evidenzia che </w:t>
            </w:r>
            <w:r w:rsidRPr="00BA6877">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A67C2">
              <w:rPr>
                <w:rFonts w:ascii="Arial" w:hAnsi="Arial" w:cs="Arial"/>
                <w:color w:val="auto"/>
                <w:sz w:val="12"/>
                <w:szCs w:val="12"/>
              </w:rPr>
            </w:r>
            <w:r w:rsidR="00EA67C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C05AF42"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00B402E3">
              <w:rPr>
                <w:rFonts w:ascii="Arial" w:hAnsi="Arial" w:cs="Arial"/>
                <w:b/>
                <w:color w:val="auto"/>
                <w:sz w:val="12"/>
                <w:szCs w:val="12"/>
              </w:rPr>
              <w:t>g), h), i</w:t>
            </w:r>
            <w:r w:rsidRPr="004E1937">
              <w:rPr>
                <w:rFonts w:ascii="Arial" w:hAnsi="Arial" w:cs="Arial"/>
                <w:b/>
                <w:color w:val="auto"/>
                <w:sz w:val="12"/>
                <w:szCs w:val="12"/>
              </w:rPr>
              <w:t>),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F20DC3E" w:rsidR="00A23B3E" w:rsidRPr="00BA6877" w:rsidRDefault="004E1937" w:rsidP="00397EA8">
            <w:pPr>
              <w:jc w:val="both"/>
              <w:rPr>
                <w:rFonts w:ascii="Arial" w:hAnsi="Arial" w:cs="Arial"/>
                <w:color w:val="auto"/>
                <w:sz w:val="12"/>
                <w:szCs w:val="12"/>
              </w:rPr>
            </w:pPr>
            <w:r w:rsidRPr="00BA6877">
              <w:rPr>
                <w:rFonts w:ascii="Arial" w:hAnsi="Arial" w:cs="Arial"/>
                <w:color w:val="auto"/>
                <w:sz w:val="12"/>
                <w:szCs w:val="12"/>
              </w:rPr>
              <w:t>Sussistono  a carico dei soggetti di cui all’art. 80, comma 3, del Codice cause di decadenza</w:t>
            </w:r>
            <w:r w:rsidR="00A23B3E" w:rsidRPr="00BA6877">
              <w:rPr>
                <w:rFonts w:ascii="Arial" w:hAnsi="Arial" w:cs="Arial"/>
                <w:color w:val="auto"/>
                <w:sz w:val="12"/>
                <w:szCs w:val="12"/>
              </w:rPr>
              <w:t>, di sospensione o di divieto previste dall'</w:t>
            </w:r>
            <w:hyperlink r:id="rId9" w:anchor="067" w:history="1">
              <w:r w:rsidR="00A23B3E" w:rsidRPr="00BA6877">
                <w:rPr>
                  <w:rFonts w:ascii="Arial" w:hAnsi="Arial" w:cs="Arial"/>
                  <w:sz w:val="12"/>
                  <w:szCs w:val="12"/>
                </w:rPr>
                <w:t>articolo 67 del decreto legislativo 6 settembre 2011, n. 159</w:t>
              </w:r>
            </w:hyperlink>
            <w:r w:rsidR="00C45C4C" w:rsidRPr="00BA6877">
              <w:rPr>
                <w:rFonts w:ascii="Arial" w:hAnsi="Arial" w:cs="Arial"/>
                <w:color w:val="auto"/>
                <w:sz w:val="12"/>
                <w:szCs w:val="12"/>
              </w:rPr>
              <w:t xml:space="preserve"> </w:t>
            </w:r>
            <w:r w:rsidR="00A23B3E" w:rsidRPr="00BA6877">
              <w:rPr>
                <w:rFonts w:ascii="Arial" w:hAnsi="Arial" w:cs="Arial"/>
                <w:color w:val="auto"/>
                <w:sz w:val="12"/>
                <w:szCs w:val="12"/>
              </w:rPr>
              <w:t>o di un tentativo di infiltrazione mafiosa di cui all'</w:t>
            </w:r>
            <w:hyperlink r:id="rId10" w:anchor="084" w:history="1">
              <w:r w:rsidR="00A23B3E" w:rsidRPr="00BA6877">
                <w:rPr>
                  <w:rFonts w:ascii="Arial" w:hAnsi="Arial" w:cs="Arial"/>
                  <w:sz w:val="12"/>
                  <w:szCs w:val="12"/>
                </w:rPr>
                <w:t>articolo 84, comma 4, del medesimo decreto</w:t>
              </w:r>
            </w:hyperlink>
            <w:r w:rsidR="00A23B3E" w:rsidRPr="00BA6877">
              <w:rPr>
                <w:rFonts w:ascii="Arial" w:hAnsi="Arial" w:cs="Arial"/>
                <w:color w:val="auto"/>
                <w:sz w:val="12"/>
                <w:szCs w:val="12"/>
              </w:rPr>
              <w:t xml:space="preserve">, fermo restando quanto previsto dagli </w:t>
            </w:r>
            <w:hyperlink r:id="rId11" w:anchor="088" w:history="1">
              <w:r w:rsidR="00A23B3E" w:rsidRPr="00BA6877">
                <w:rPr>
                  <w:rFonts w:ascii="Arial" w:hAnsi="Arial" w:cs="Arial"/>
                  <w:sz w:val="12"/>
                  <w:szCs w:val="12"/>
                </w:rPr>
                <w:t>articoli 88, comma 4-bis</w:t>
              </w:r>
            </w:hyperlink>
            <w:r w:rsidR="00A23B3E" w:rsidRPr="00BA6877">
              <w:rPr>
                <w:rFonts w:ascii="Arial" w:hAnsi="Arial" w:cs="Arial"/>
                <w:color w:val="auto"/>
                <w:sz w:val="12"/>
                <w:szCs w:val="12"/>
              </w:rPr>
              <w:t xml:space="preserve">, e </w:t>
            </w:r>
            <w:hyperlink r:id="rId12" w:anchor="092" w:history="1">
              <w:r w:rsidR="00A23B3E" w:rsidRPr="00BA6877">
                <w:rPr>
                  <w:rFonts w:ascii="Arial" w:hAnsi="Arial" w:cs="Arial"/>
                  <w:sz w:val="12"/>
                  <w:szCs w:val="12"/>
                </w:rPr>
                <w:t>92, commi 2 e 3, del decreto legislativo 6 settembre 2011, n. 159</w:t>
              </w:r>
            </w:hyperlink>
            <w:r w:rsidR="00A23B3E" w:rsidRPr="00BA6877">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B402E3">
        <w:trPr>
          <w:trHeight w:val="570"/>
        </w:trPr>
        <w:tc>
          <w:tcPr>
            <w:tcW w:w="5338" w:type="dxa"/>
            <w:tcBorders>
              <w:top w:val="single" w:sz="4" w:space="0" w:color="00000A"/>
              <w:left w:val="single" w:sz="4" w:space="0" w:color="00000A"/>
              <w:right w:val="single" w:sz="4" w:space="0" w:color="00000A"/>
            </w:tcBorders>
            <w:shd w:val="clear" w:color="auto" w:fill="D9E2F3" w:themeFill="accent5"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9E2F3" w:themeFill="accent5"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B402E3">
        <w:trPr>
          <w:trHeight w:val="511"/>
        </w:trPr>
        <w:tc>
          <w:tcPr>
            <w:tcW w:w="5338" w:type="dxa"/>
            <w:tcBorders>
              <w:left w:val="single" w:sz="4" w:space="0" w:color="00000A"/>
              <w:right w:val="single" w:sz="4" w:space="0" w:color="00000A"/>
            </w:tcBorders>
            <w:shd w:val="clear" w:color="auto" w:fill="D9E2F3" w:themeFill="accent5"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9E2F3" w:themeFill="accent5"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B402E3">
        <w:trPr>
          <w:trHeight w:val="944"/>
        </w:trPr>
        <w:tc>
          <w:tcPr>
            <w:tcW w:w="5338" w:type="dxa"/>
            <w:tcBorders>
              <w:left w:val="single" w:sz="4" w:space="0" w:color="00000A"/>
              <w:bottom w:val="single" w:sz="4" w:space="0" w:color="00000A"/>
              <w:right w:val="single" w:sz="4" w:space="0" w:color="00000A"/>
            </w:tcBorders>
            <w:shd w:val="clear" w:color="auto" w:fill="D9E2F3" w:themeFill="accent5"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9E2F3" w:themeFill="accent5"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A67C2">
              <w:rPr>
                <w:rFonts w:ascii="Arial" w:hAnsi="Arial" w:cs="Arial"/>
                <w:b/>
                <w:color w:val="auto"/>
                <w:sz w:val="12"/>
                <w:szCs w:val="12"/>
              </w:rPr>
            </w:r>
            <w:r w:rsidR="00EA67C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758978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A01AE9" w:rsidRPr="00A01AE9">
        <w:rPr>
          <w:rFonts w:ascii="Arial" w:hAnsi="Arial" w:cs="Arial"/>
          <w:b/>
          <w:color w:val="auto"/>
          <w:sz w:val="12"/>
          <w:szCs w:val="12"/>
        </w:rPr>
        <w:t>Procedura negoziata, in modalità telematica, relativa all’affidamento dei lavori di rifacimento campi da rugby n. 1 e 2 presso il Centro di Preparazione Olimpica “Giulio Onesti”. R.A. 050/17/PN. CIG: 710544705C</w:t>
      </w:r>
      <w:r w:rsidR="00A01AE9">
        <w:rPr>
          <w:rFonts w:ascii="Arial" w:hAnsi="Arial" w:cs="Arial"/>
          <w:color w:val="auto"/>
          <w:sz w:val="12"/>
          <w:szCs w:val="12"/>
          <w:highlight w:val="lightGray"/>
        </w:rPr>
        <w:t>)</w:t>
      </w:r>
      <w:r w:rsidRPr="003C5818">
        <w:rPr>
          <w:rFonts w:ascii="Arial" w:hAnsi="Arial" w:cs="Arial"/>
          <w:i/>
          <w:color w:val="auto"/>
          <w:sz w:val="12"/>
          <w:szCs w:val="12"/>
          <w:highlight w:val="lightGray"/>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D0E8A" w14:textId="77777777" w:rsidR="00EA67C2" w:rsidRDefault="00EA67C2">
      <w:pPr>
        <w:spacing w:before="0" w:after="0"/>
      </w:pPr>
      <w:r>
        <w:separator/>
      </w:r>
    </w:p>
  </w:endnote>
  <w:endnote w:type="continuationSeparator" w:id="0">
    <w:p w14:paraId="3BD86511" w14:textId="77777777" w:rsidR="00EA67C2" w:rsidRDefault="00EA6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2C00C7" w:rsidRPr="00D509A5" w:rsidRDefault="002C00C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60BA0">
      <w:rPr>
        <w:rFonts w:ascii="Calibri" w:hAnsi="Calibri"/>
        <w:noProof/>
        <w:sz w:val="20"/>
        <w:szCs w:val="20"/>
      </w:rPr>
      <w:t>2</w:t>
    </w:r>
    <w:r w:rsidRPr="00D509A5">
      <w:rPr>
        <w:rFonts w:ascii="Calibri" w:hAnsi="Calibri"/>
        <w:sz w:val="20"/>
        <w:szCs w:val="20"/>
      </w:rPr>
      <w:fldChar w:fldCharType="end"/>
    </w:r>
  </w:p>
  <w:p w14:paraId="561733E4" w14:textId="77777777" w:rsidR="002C00C7" w:rsidRDefault="002C00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F8AF2" w14:textId="77777777" w:rsidR="00EA67C2" w:rsidRDefault="00EA67C2">
      <w:pPr>
        <w:spacing w:before="0" w:after="0"/>
      </w:pPr>
      <w:r>
        <w:separator/>
      </w:r>
    </w:p>
  </w:footnote>
  <w:footnote w:type="continuationSeparator" w:id="0">
    <w:p w14:paraId="2E711907" w14:textId="77777777" w:rsidR="00EA67C2" w:rsidRDefault="00EA67C2">
      <w:pPr>
        <w:spacing w:before="0" w:after="0"/>
      </w:pPr>
      <w:r>
        <w:continuationSeparator/>
      </w:r>
    </w:p>
  </w:footnote>
  <w:footnote w:id="1">
    <w:p w14:paraId="00078A0D"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2C00C7" w:rsidRPr="002C6BEF" w:rsidRDefault="002C00C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2C00C7" w:rsidRPr="002C6BEF" w:rsidRDefault="002C00C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2C00C7" w:rsidRPr="002C6BEF" w:rsidRDefault="002C00C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2C00C7" w:rsidRPr="002C6BEF" w:rsidRDefault="002C00C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2C00C7" w:rsidRPr="002C6BEF" w:rsidRDefault="002C00C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2C00C7" w:rsidRPr="002C6BEF" w:rsidRDefault="002C00C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2C00C7" w:rsidRPr="005C6A4A" w:rsidRDefault="002C00C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2C00C7" w:rsidRPr="002C6BEF" w:rsidRDefault="002C00C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2C00C7" w:rsidRPr="002C6BEF" w:rsidRDefault="002C00C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2C00C7" w:rsidRPr="002C6BEF" w:rsidRDefault="002C00C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YGb4vDGrklgrk86xnNQUMobnDTY=" w:salt="UVouMOS4qoaU6RG0AeI3G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A7798"/>
    <w:rsid w:val="001B5CE3"/>
    <w:rsid w:val="001D3A2B"/>
    <w:rsid w:val="001D56C2"/>
    <w:rsid w:val="001F35A9"/>
    <w:rsid w:val="00211647"/>
    <w:rsid w:val="00224EEC"/>
    <w:rsid w:val="002256C6"/>
    <w:rsid w:val="002534D5"/>
    <w:rsid w:val="00270DA2"/>
    <w:rsid w:val="002939EE"/>
    <w:rsid w:val="002A21BC"/>
    <w:rsid w:val="002C00C7"/>
    <w:rsid w:val="002C169E"/>
    <w:rsid w:val="002C6BEF"/>
    <w:rsid w:val="002D50E9"/>
    <w:rsid w:val="002E0D4D"/>
    <w:rsid w:val="002E43BE"/>
    <w:rsid w:val="00316FAD"/>
    <w:rsid w:val="00331F7A"/>
    <w:rsid w:val="00350D7E"/>
    <w:rsid w:val="0036728A"/>
    <w:rsid w:val="00384132"/>
    <w:rsid w:val="00397EA8"/>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02AE6"/>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57B91"/>
    <w:rsid w:val="008813DC"/>
    <w:rsid w:val="00883F1F"/>
    <w:rsid w:val="0089654F"/>
    <w:rsid w:val="008B1F99"/>
    <w:rsid w:val="008B258E"/>
    <w:rsid w:val="008C7305"/>
    <w:rsid w:val="008C734C"/>
    <w:rsid w:val="008E3A62"/>
    <w:rsid w:val="008F12E6"/>
    <w:rsid w:val="00900583"/>
    <w:rsid w:val="00934658"/>
    <w:rsid w:val="00946248"/>
    <w:rsid w:val="009644B4"/>
    <w:rsid w:val="009A412D"/>
    <w:rsid w:val="009B55CF"/>
    <w:rsid w:val="009B6A2D"/>
    <w:rsid w:val="009D132C"/>
    <w:rsid w:val="009E204E"/>
    <w:rsid w:val="009E34E5"/>
    <w:rsid w:val="00A01AE9"/>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02E3"/>
    <w:rsid w:val="00B64AE6"/>
    <w:rsid w:val="00B80BA0"/>
    <w:rsid w:val="00B91406"/>
    <w:rsid w:val="00BA4F12"/>
    <w:rsid w:val="00BA6877"/>
    <w:rsid w:val="00BB116C"/>
    <w:rsid w:val="00BB639E"/>
    <w:rsid w:val="00BB7EEA"/>
    <w:rsid w:val="00BC09F5"/>
    <w:rsid w:val="00BE63A3"/>
    <w:rsid w:val="00BF74E1"/>
    <w:rsid w:val="00C01254"/>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0BA0"/>
    <w:rsid w:val="00D64744"/>
    <w:rsid w:val="00D77666"/>
    <w:rsid w:val="00D92A41"/>
    <w:rsid w:val="00D93877"/>
    <w:rsid w:val="00DA7329"/>
    <w:rsid w:val="00DB14CC"/>
    <w:rsid w:val="00DE27C1"/>
    <w:rsid w:val="00DE4996"/>
    <w:rsid w:val="00E0264E"/>
    <w:rsid w:val="00E23C32"/>
    <w:rsid w:val="00E47BDE"/>
    <w:rsid w:val="00E75B03"/>
    <w:rsid w:val="00EA67C2"/>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styleId="Collegamentovisitato">
    <w:name w:val="FollowedHyperlink"/>
    <w:basedOn w:val="Carpredefinitoparagrafo"/>
    <w:uiPriority w:val="99"/>
    <w:semiHidden/>
    <w:unhideWhenUsed/>
    <w:rsid w:val="00BA68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styleId="Collegamentovisitato">
    <w:name w:val="FollowedHyperlink"/>
    <w:basedOn w:val="Carpredefinitoparagrafo"/>
    <w:uiPriority w:val="99"/>
    <w:semiHidden/>
    <w:unhideWhenUsed/>
    <w:rsid w:val="00BA6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F9D1-14C9-4306-B3A2-1E65F3F1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18</Pages>
  <Words>9782</Words>
  <Characters>55760</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65412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14</cp:revision>
  <cp:lastPrinted>2016-08-31T08:45:00Z</cp:lastPrinted>
  <dcterms:created xsi:type="dcterms:W3CDTF">2017-05-23T16:30:00Z</dcterms:created>
  <dcterms:modified xsi:type="dcterms:W3CDTF">2017-06-12T12:45:00Z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