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D43A1B" w:rsidRDefault="00A6104B" w:rsidP="00D43A1B">
      <w:pPr>
        <w:tabs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C5F6F" w:rsidRPr="001C5F6F">
        <w:rPr>
          <w:rFonts w:ascii="Arial" w:hAnsi="Arial" w:cs="Arial"/>
          <w:b/>
          <w:bCs/>
        </w:rPr>
        <w:t>Procedura negoziata, in modalità telematica, relativa ai lavori di rifacimento del manto erboso del campo da gioco dello Stadio Olimpico.</w:t>
      </w:r>
      <w:r w:rsidR="00D43A1B">
        <w:rPr>
          <w:rFonts w:ascii="Arial" w:hAnsi="Arial" w:cs="Arial"/>
          <w:b/>
        </w:rPr>
        <w:br/>
      </w:r>
      <w:r w:rsidR="00D43A1B" w:rsidRPr="00967CEC">
        <w:rPr>
          <w:rFonts w:ascii="Arial" w:hAnsi="Arial" w:cs="Arial"/>
          <w:b/>
        </w:rPr>
        <w:t xml:space="preserve">CIG: </w:t>
      </w:r>
      <w:r w:rsidR="001C5F6F">
        <w:rPr>
          <w:rFonts w:ascii="Arial" w:hAnsi="Arial" w:cs="Arial"/>
          <w:b/>
          <w:bCs/>
        </w:rPr>
        <w:t>71155490CB</w:t>
      </w:r>
      <w:r w:rsidR="00D43A1B" w:rsidRPr="00967CEC">
        <w:rPr>
          <w:rFonts w:ascii="Arial" w:hAnsi="Arial" w:cs="Arial"/>
          <w:b/>
        </w:rPr>
        <w:t xml:space="preserve"> – R.A. 05</w:t>
      </w:r>
      <w:r w:rsidR="001C5F6F">
        <w:rPr>
          <w:rFonts w:ascii="Arial" w:hAnsi="Arial" w:cs="Arial"/>
          <w:b/>
        </w:rPr>
        <w:t>3</w:t>
      </w:r>
      <w:r w:rsidR="00D43A1B" w:rsidRPr="00967CEC">
        <w:rPr>
          <w:rFonts w:ascii="Arial" w:hAnsi="Arial" w:cs="Arial"/>
          <w:b/>
        </w:rPr>
        <w:t>/17/PN.</w:t>
      </w:r>
    </w:p>
    <w:p w:rsidR="00287085" w:rsidRPr="00D43A1B" w:rsidRDefault="0058031D" w:rsidP="00D43A1B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</w:r>
            <w:r w:rsidR="00276F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76F29">
        <w:rPr>
          <w:rFonts w:ascii="Arial" w:hAnsi="Arial" w:cs="Arial"/>
          <w:sz w:val="20"/>
          <w:szCs w:val="20"/>
        </w:rPr>
      </w:r>
      <w:r w:rsidR="00276F2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76F29">
        <w:rPr>
          <w:rFonts w:ascii="Arial" w:hAnsi="Arial" w:cs="Arial"/>
          <w:sz w:val="20"/>
          <w:szCs w:val="20"/>
        </w:rPr>
      </w:r>
      <w:r w:rsidR="00276F2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76F29">
        <w:rPr>
          <w:rFonts w:ascii="Arial" w:hAnsi="Arial" w:cs="Arial"/>
          <w:sz w:val="20"/>
          <w:szCs w:val="20"/>
        </w:rPr>
      </w:r>
      <w:r w:rsidR="00276F2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76F29">
        <w:rPr>
          <w:rFonts w:ascii="Arial" w:hAnsi="Arial" w:cs="Arial"/>
          <w:sz w:val="20"/>
          <w:szCs w:val="20"/>
        </w:rPr>
      </w:r>
      <w:r w:rsidR="00276F2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76F29">
        <w:rPr>
          <w:rFonts w:ascii="Arial" w:hAnsi="Arial" w:cs="Arial"/>
          <w:sz w:val="20"/>
          <w:szCs w:val="20"/>
        </w:rPr>
      </w:r>
      <w:r w:rsidR="00276F2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76F29">
        <w:rPr>
          <w:rFonts w:ascii="Arial" w:hAnsi="Arial" w:cs="Arial"/>
          <w:sz w:val="20"/>
          <w:szCs w:val="20"/>
        </w:rPr>
      </w:r>
      <w:r w:rsidR="00276F2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D43A1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76F29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76F29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+COXbxPMF2y8GNsGx8PJLH3XPv4=" w:salt="PRXDSlY2dLdL3gNYMR+j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5F6F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6F29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3A1B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0F42-08AC-434F-912D-EC3F8DAC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43</cp:revision>
  <cp:lastPrinted>2016-05-25T07:51:00Z</cp:lastPrinted>
  <dcterms:created xsi:type="dcterms:W3CDTF">2016-04-29T14:01:00Z</dcterms:created>
  <dcterms:modified xsi:type="dcterms:W3CDTF">2017-06-27T12:49:00Z</dcterms:modified>
</cp:coreProperties>
</file>