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680A9E">
      <w:pPr>
        <w:tabs>
          <w:tab w:val="left" w:pos="1276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80A9E">
        <w:rPr>
          <w:rFonts w:ascii="Arial" w:hAnsi="Arial" w:cs="Arial"/>
          <w:b/>
          <w:bCs/>
        </w:rPr>
        <w:t xml:space="preserve"> p</w:t>
      </w:r>
      <w:r w:rsidR="00680A9E" w:rsidRPr="00680A9E">
        <w:rPr>
          <w:rFonts w:ascii="Arial" w:hAnsi="Arial" w:cs="Arial"/>
          <w:b/>
          <w:bCs/>
        </w:rPr>
        <w:t>rocedura negoziata per l’affidamento dei servizi di traduzione, revisione, trascrizione automatica o dattilografica, da supporti magnetici e digitali, di lettere e documenti tecnico - scientifici da e in lingue straniere, di interviste, di relazioni, di resoconto testuale delle riunioni del Consiglio Nazionale e di interventi nel corso di convegni, di conferenze e di dibattiti vari organizzati dal Coni e dalla Sport e salute S.p.A..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680A9E" w:rsidRPr="00680A9E">
        <w:rPr>
          <w:rFonts w:ascii="Arial" w:hAnsi="Arial" w:cs="Arial"/>
          <w:b/>
          <w:szCs w:val="20"/>
        </w:rPr>
        <w:t>7858148CDC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</w:r>
            <w:r w:rsidR="009C67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680A9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680A9E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BB430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680A9E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680A9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680A9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680A9E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680A9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680A9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680A9E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680A9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680A9E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</w:r>
            <w:r w:rsidR="009C672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BB430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680A9E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680A9E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BB430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C6723">
        <w:rPr>
          <w:rFonts w:ascii="Arial" w:hAnsi="Arial" w:cs="Arial"/>
          <w:sz w:val="20"/>
          <w:szCs w:val="20"/>
        </w:rPr>
      </w:r>
      <w:r w:rsidR="009C67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FE11E8">
      <w:pPr>
        <w:pStyle w:val="Paragrafoelenco"/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C6723">
        <w:rPr>
          <w:rFonts w:ascii="Arial" w:hAnsi="Arial" w:cs="Arial"/>
          <w:sz w:val="20"/>
          <w:szCs w:val="20"/>
        </w:rPr>
      </w:r>
      <w:r w:rsidR="009C672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72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2244"/>
        <w:gridCol w:w="2405"/>
      </w:tblGrid>
      <w:tr w:rsidR="00A83C1F" w:rsidRPr="00182F1A" w:rsidTr="00FE11E8">
        <w:tc>
          <w:tcPr>
            <w:tcW w:w="2609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2609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FE11E8">
        <w:tc>
          <w:tcPr>
            <w:tcW w:w="7258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574E0" w:rsidRPr="00F10150" w:rsidRDefault="000574E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10150">
        <w:rPr>
          <w:rFonts w:ascii="Arial" w:hAnsi="Arial" w:cs="Arial"/>
          <w:sz w:val="20"/>
          <w:szCs w:val="20"/>
        </w:rPr>
        <w:t>he:</w:t>
      </w:r>
    </w:p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0574E0" w:rsidRPr="00680A9E" w:rsidRDefault="00851076" w:rsidP="00680A9E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FE11E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14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C6723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C6723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E11E8" w:rsidRPr="002618E4" w:rsidRDefault="00FE11E8" w:rsidP="00680A9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Ly6ge4RKbf+i/wRooMsYWI+xPEmFFOJJ0BDkMBsac4EYXyinoo7u45jtv9l4sx8D4MHe0q1TbbWmvUsdOeFBA==" w:salt="ALXSENwdj2hZsvYmz92Y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0A9E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C6723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5DE4-007F-466B-AF2D-C198C7F0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Pastore Patrizia</cp:lastModifiedBy>
  <cp:revision>21</cp:revision>
  <cp:lastPrinted>2016-05-25T07:51:00Z</cp:lastPrinted>
  <dcterms:created xsi:type="dcterms:W3CDTF">2018-01-08T17:19:00Z</dcterms:created>
  <dcterms:modified xsi:type="dcterms:W3CDTF">2019-04-02T09:04:00Z</dcterms:modified>
</cp:coreProperties>
</file>