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08EF017" w:rsidR="00C45C4C" w:rsidRPr="003C5818" w:rsidRDefault="00C45C4C" w:rsidP="008262E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262E0" w:rsidRPr="008262E0">
              <w:rPr>
                <w:rFonts w:ascii="Arial" w:hAnsi="Arial" w:cs="Arial"/>
                <w:b/>
                <w:color w:val="auto"/>
                <w:sz w:val="12"/>
                <w:szCs w:val="12"/>
              </w:rPr>
              <w:t xml:space="preserve">Procedura negoziata, in modalità telematica, per l’affidamento del servizio di revisione dei sistemi antincendio, sostituzione di parti ricambio, ricariche, fornitura e posa in opera di nuovi estintori e/o idranti negli impianti sportivi ed immobili della </w:t>
            </w:r>
            <w:r w:rsidR="008262E0">
              <w:rPr>
                <w:rFonts w:ascii="Arial" w:hAnsi="Arial" w:cs="Arial"/>
                <w:b/>
                <w:color w:val="auto"/>
                <w:sz w:val="12"/>
                <w:szCs w:val="12"/>
              </w:rPr>
              <w:t>Sport e salute S.p.A.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0CD36D1" w:rsidR="00A23B3E" w:rsidRPr="003C5818" w:rsidRDefault="00F503D0" w:rsidP="008262E0">
            <w:pPr>
              <w:rPr>
                <w:rFonts w:ascii="Arial" w:hAnsi="Arial" w:cs="Arial"/>
                <w:color w:val="auto"/>
                <w:sz w:val="12"/>
                <w:szCs w:val="12"/>
              </w:rPr>
            </w:pPr>
            <w:r w:rsidRPr="003C5818">
              <w:rPr>
                <w:rFonts w:ascii="Arial" w:hAnsi="Arial" w:cs="Arial"/>
                <w:color w:val="auto"/>
                <w:sz w:val="12"/>
                <w:szCs w:val="12"/>
              </w:rPr>
              <w:t>[</w:t>
            </w:r>
            <w:r w:rsidR="008262E0" w:rsidRPr="008262E0">
              <w:rPr>
                <w:rFonts w:ascii="Arial" w:hAnsi="Arial" w:cs="Arial"/>
                <w:b/>
                <w:color w:val="auto"/>
                <w:sz w:val="12"/>
                <w:szCs w:val="12"/>
              </w:rPr>
              <w:t>Servizio di revisione dei sistemi antincendio, sostituzione di parti ricambio, ricariche, fornitura e posa in opera di nuovi estintori e/o idranti negli impianti sportivi ed immobili della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AAED41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262E0" w:rsidRPr="008262E0">
              <w:rPr>
                <w:rFonts w:ascii="Arial" w:hAnsi="Arial" w:cs="Arial"/>
                <w:b/>
                <w:color w:val="auto"/>
                <w:sz w:val="12"/>
                <w:szCs w:val="12"/>
              </w:rPr>
              <w:t>R.A. 024/19/PN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996EB61"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C3F1C" w:rsidRPr="008C3F1C">
              <w:rPr>
                <w:rFonts w:ascii="Arial" w:hAnsi="Arial" w:cs="Arial"/>
                <w:b/>
                <w:color w:val="auto"/>
                <w:sz w:val="12"/>
                <w:szCs w:val="12"/>
              </w:rPr>
              <w:t>7925788729</w:t>
            </w:r>
            <w:bookmarkStart w:id="0" w:name="_GoBack"/>
            <w:bookmarkEnd w:id="0"/>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262E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262E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262E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262E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262E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262E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262E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262E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262E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262E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262E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262E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262E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262E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262E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262E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262E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262E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262E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262E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262E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262E0">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262E0">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262E0">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262E0">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262E0">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262E0">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262E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262E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262E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262E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262E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8262E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8262E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262E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262E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262E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262E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262E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262E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956900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68E04391" w:rsidR="00270DA2" w:rsidRPr="003C5818" w:rsidRDefault="00805372" w:rsidP="008262E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F1C">
              <w:rPr>
                <w:rFonts w:ascii="Arial" w:hAnsi="Arial" w:cs="Arial"/>
                <w:color w:val="auto"/>
                <w:sz w:val="12"/>
                <w:szCs w:val="12"/>
              </w:rPr>
            </w:r>
            <w:r w:rsidR="008C3F1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7A65C373" w14:textId="31191385" w:rsidR="00AD12B5" w:rsidRPr="003C5818" w:rsidRDefault="00AD12B5" w:rsidP="00BB7EEA">
            <w:pPr>
              <w:pStyle w:val="Paragrafoelenco"/>
              <w:numPr>
                <w:ilvl w:val="0"/>
                <w:numId w:val="22"/>
              </w:numPr>
              <w:ind w:left="332" w:hanging="142"/>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0C15D04F" w14:textId="68656B7C" w:rsidR="00AD12B5" w:rsidRPr="003C5818" w:rsidRDefault="00AD12B5" w:rsidP="00AD12B5">
            <w:pPr>
              <w:rPr>
                <w:rFonts w:ascii="Arial" w:hAnsi="Arial" w:cs="Arial"/>
                <w:color w:val="auto"/>
                <w:sz w:val="12"/>
                <w:szCs w:val="12"/>
              </w:rPr>
            </w:pP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956F44C" w14:textId="4AA4DFFD" w:rsidR="00AD12B5" w:rsidRPr="003C5818" w:rsidRDefault="00AD12B5" w:rsidP="00AD12B5">
            <w:pPr>
              <w:rPr>
                <w:rFonts w:ascii="Arial" w:hAnsi="Arial" w:cs="Arial"/>
                <w:color w:val="auto"/>
                <w:sz w:val="12"/>
                <w:szCs w:val="12"/>
              </w:rPr>
            </w:pP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262E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231BA16"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3B69721A"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574B2B15"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F1C">
              <w:rPr>
                <w:rFonts w:ascii="Arial" w:hAnsi="Arial" w:cs="Arial"/>
                <w:b/>
                <w:color w:val="auto"/>
                <w:sz w:val="12"/>
                <w:szCs w:val="12"/>
              </w:rPr>
            </w:r>
            <w:r w:rsidR="008C3F1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E9A439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8262E0">
        <w:rPr>
          <w:rFonts w:ascii="Arial" w:hAnsi="Arial" w:cs="Arial"/>
          <w:color w:val="auto"/>
          <w:sz w:val="12"/>
          <w:szCs w:val="12"/>
        </w:rPr>
        <w:t xml:space="preserve"> </w:t>
      </w:r>
      <w:r w:rsidR="008262E0" w:rsidRPr="008262E0">
        <w:rPr>
          <w:rFonts w:ascii="Arial" w:hAnsi="Arial" w:cs="Arial"/>
          <w:b/>
          <w:color w:val="auto"/>
          <w:sz w:val="12"/>
          <w:szCs w:val="12"/>
        </w:rPr>
        <w:t xml:space="preserve">Procedura negoziata, in modalità telematica, per l’affidamento del servizio di revisione dei sistemi antincendio, sostituzione di parti ricambio, ricariche, fornitura e posa in opera di nuovi estintori e/o idranti negli impianti sportivi ed immobili della </w:t>
      </w:r>
      <w:r w:rsidR="008262E0">
        <w:rPr>
          <w:rFonts w:ascii="Arial" w:hAnsi="Arial" w:cs="Arial"/>
          <w:b/>
          <w:color w:val="auto"/>
          <w:sz w:val="12"/>
          <w:szCs w:val="12"/>
        </w:rPr>
        <w:t>Sport e salute S.p.A.</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C3F1C">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31F950CF" w:rsidR="00F82D84" w:rsidRPr="008262E0" w:rsidRDefault="00F82D84">
    <w:pPr>
      <w:pStyle w:val="Intestazione"/>
      <w:rPr>
        <w:sz w:val="18"/>
        <w:szCs w:val="18"/>
      </w:rPr>
    </w:pPr>
    <w:r w:rsidRPr="008262E0">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262E0"/>
    <w:rsid w:val="0084324F"/>
    <w:rsid w:val="008813DC"/>
    <w:rsid w:val="00883F1F"/>
    <w:rsid w:val="0089654F"/>
    <w:rsid w:val="008B258E"/>
    <w:rsid w:val="008C3F1C"/>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D0F7-1743-45D7-904C-CD4B4CEA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212</TotalTime>
  <Pages>19</Pages>
  <Words>10454</Words>
  <Characters>59594</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69909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19</cp:revision>
  <cp:lastPrinted>2016-08-31T08:45:00Z</cp:lastPrinted>
  <dcterms:created xsi:type="dcterms:W3CDTF">2017-09-26T16:54:00Z</dcterms:created>
  <dcterms:modified xsi:type="dcterms:W3CDTF">2019-05-30T10:08:00Z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