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5056E" w:rsidRPr="005C5D42" w:rsidRDefault="00C5056E" w:rsidP="00C5056E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/>
          <w:b/>
          <w:lang w:eastAsia="it-IT"/>
        </w:rPr>
      </w:pPr>
      <w:r w:rsidRPr="005C5D42">
        <w:rPr>
          <w:rFonts w:ascii="Arial" w:eastAsia="Times New Roman" w:hAnsi="Arial"/>
          <w:b/>
          <w:lang w:eastAsia="it-IT"/>
        </w:rPr>
        <w:t xml:space="preserve">Procedura negoziata per l’affidamento dei lavori </w:t>
      </w:r>
      <w:r w:rsidRPr="005C5D42">
        <w:rPr>
          <w:rFonts w:ascii="Arial" w:eastAsia="Times New Roman" w:hAnsi="Arial"/>
          <w:b/>
          <w:bCs/>
          <w:iCs/>
          <w:lang w:eastAsia="it-IT"/>
        </w:rPr>
        <w:t xml:space="preserve">di riqualificazione della palazzina prospiciente via De </w:t>
      </w:r>
      <w:proofErr w:type="spellStart"/>
      <w:r w:rsidRPr="005C5D42">
        <w:rPr>
          <w:rFonts w:ascii="Arial" w:eastAsia="Times New Roman" w:hAnsi="Arial"/>
          <w:b/>
          <w:bCs/>
          <w:iCs/>
          <w:lang w:eastAsia="it-IT"/>
        </w:rPr>
        <w:t>Lemene</w:t>
      </w:r>
      <w:proofErr w:type="spellEnd"/>
      <w:r w:rsidRPr="005C5D42">
        <w:rPr>
          <w:rFonts w:ascii="Arial" w:eastAsia="Times New Roman" w:hAnsi="Arial"/>
          <w:b/>
          <w:bCs/>
          <w:iCs/>
          <w:lang w:eastAsia="it-IT"/>
        </w:rPr>
        <w:t xml:space="preserve"> n.3 sita in Milano inserita nella struttura polisportiva denominata Centro sportivo Pavesi FIPAV, sede del Comitato Regionale della Federazione Italiana Pallavolo</w:t>
      </w:r>
      <w:r w:rsidRPr="005C5D42">
        <w:rPr>
          <w:rFonts w:ascii="Arial" w:eastAsia="Times New Roman" w:hAnsi="Arial"/>
          <w:b/>
          <w:lang w:eastAsia="it-IT"/>
        </w:rPr>
        <w:t>, rientranti tra gli interventi finanziat</w:t>
      </w:r>
      <w:r>
        <w:rPr>
          <w:rFonts w:ascii="Arial" w:eastAsia="Times New Roman" w:hAnsi="Arial"/>
          <w:b/>
          <w:lang w:eastAsia="it-IT"/>
        </w:rPr>
        <w:t>i dal fondo “Sport e Periferie”</w:t>
      </w:r>
      <w:r w:rsidRPr="005C5D42">
        <w:rPr>
          <w:rFonts w:ascii="Arial" w:eastAsia="Times New Roman" w:hAnsi="Arial"/>
          <w:b/>
          <w:lang w:eastAsia="it-IT"/>
        </w:rPr>
        <w:t xml:space="preserve">. </w:t>
      </w:r>
    </w:p>
    <w:p w:rsidR="00C5056E" w:rsidRPr="00E46ADA" w:rsidRDefault="00C5056E" w:rsidP="00C5056E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  <w:r w:rsidRPr="005C5D42">
        <w:rPr>
          <w:rFonts w:ascii="Arial" w:eastAsia="Times New Roman" w:hAnsi="Arial"/>
          <w:b/>
          <w:lang w:eastAsia="it-IT"/>
        </w:rPr>
        <w:t xml:space="preserve">R.A.062/21/PN </w:t>
      </w:r>
      <w:r w:rsidR="00E46ADA" w:rsidRPr="00E46ADA">
        <w:rPr>
          <w:rFonts w:ascii="Arial" w:eastAsia="Times New Roman" w:hAnsi="Arial"/>
          <w:b/>
          <w:lang w:eastAsia="it-IT"/>
        </w:rPr>
        <w:t>- CIG: 8891828896 - CUP: J41B21008500005</w:t>
      </w:r>
      <w:r w:rsidRPr="00E46ADA">
        <w:rPr>
          <w:rFonts w:ascii="Arial" w:eastAsia="Times New Roman" w:hAnsi="Arial"/>
          <w:b/>
          <w:lang w:eastAsia="it-IT"/>
        </w:rPr>
        <w:t>.</w:t>
      </w:r>
    </w:p>
    <w:p w:rsidR="00C5056E" w:rsidRDefault="00C5056E" w:rsidP="00C5056E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672B95">
        <w:trPr>
          <w:trHeight w:val="512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72B95" w:rsidRPr="00967836" w:rsidRDefault="00A6104B" w:rsidP="0096783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C5056E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C5056E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</w:r>
            <w:r w:rsidR="00B04F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967836">
        <w:trPr>
          <w:trHeight w:val="518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</w:r>
            <w:r w:rsidR="00B04F1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67836" w:rsidRPr="00967836" w:rsidRDefault="00967836" w:rsidP="00967836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924252" w:rsidRPr="00924252" w:rsidRDefault="00C5056E" w:rsidP="0092425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924252" w:rsidRPr="00924252" w:rsidRDefault="00924252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924252">
        <w:rPr>
          <w:rFonts w:ascii="Arial" w:hAnsi="Arial" w:cs="Arial"/>
          <w:sz w:val="20"/>
          <w:szCs w:val="20"/>
        </w:rPr>
        <w:t xml:space="preserve">che la parte delle prestazioni che assume nella ripartizione dell’oggetto contrattuale </w:t>
      </w:r>
      <w:r>
        <w:rPr>
          <w:rFonts w:ascii="Arial" w:hAnsi="Arial" w:cs="Arial"/>
          <w:sz w:val="20"/>
          <w:szCs w:val="20"/>
        </w:rPr>
        <w:t>all’interno del Raggruppamento</w:t>
      </w:r>
      <w:r w:rsidRPr="00924252">
        <w:rPr>
          <w:rFonts w:ascii="Arial" w:hAnsi="Arial" w:cs="Arial"/>
          <w:sz w:val="20"/>
          <w:szCs w:val="20"/>
        </w:rPr>
        <w:t xml:space="preserve"> è la seguente (</w:t>
      </w:r>
      <w:r w:rsidRPr="00924252">
        <w:rPr>
          <w:rFonts w:ascii="Arial" w:hAnsi="Arial" w:cs="Arial"/>
          <w:i/>
          <w:sz w:val="20"/>
          <w:szCs w:val="20"/>
        </w:rPr>
        <w:t xml:space="preserve">indicare le singole categorie e la relativa quota percentuale </w:t>
      </w:r>
      <w:r w:rsidR="001315EE">
        <w:rPr>
          <w:rFonts w:ascii="Arial" w:hAnsi="Arial" w:cs="Arial"/>
          <w:i/>
          <w:sz w:val="20"/>
          <w:szCs w:val="20"/>
        </w:rPr>
        <w:t>di esecuzione</w:t>
      </w:r>
      <w:r w:rsidRPr="00924252">
        <w:rPr>
          <w:rFonts w:ascii="Arial" w:hAnsi="Arial" w:cs="Arial"/>
          <w:sz w:val="20"/>
          <w:szCs w:val="20"/>
        </w:rPr>
        <w:t>):</w:t>
      </w:r>
    </w:p>
    <w:tbl>
      <w:tblPr>
        <w:tblpPr w:leftFromText="141" w:rightFromText="141" w:vertAnchor="text" w:horzAnchor="margin" w:tblpX="642" w:tblpY="265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1984"/>
      </w:tblGrid>
      <w:tr w:rsidR="00924252" w:rsidRPr="00614A5D" w:rsidTr="00E46ADA">
        <w:trPr>
          <w:trHeight w:val="409"/>
        </w:trPr>
        <w:tc>
          <w:tcPr>
            <w:tcW w:w="2410" w:type="dxa"/>
            <w:tcBorders>
              <w:bottom w:val="nil"/>
            </w:tcBorders>
            <w:shd w:val="clear" w:color="auto" w:fill="0070C0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5FD">
              <w:rPr>
                <w:rFonts w:ascii="Arial" w:hAnsi="Arial" w:cs="Arial"/>
                <w:b/>
                <w:color w:val="FFFFFF"/>
                <w:sz w:val="20"/>
                <w:szCs w:val="20"/>
              </w:rPr>
              <w:t>Denominazione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70C0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 </w:t>
            </w:r>
          </w:p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>OG1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0070C0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</w:t>
            </w:r>
          </w:p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G11</w:t>
            </w:r>
          </w:p>
        </w:tc>
      </w:tr>
      <w:tr w:rsidR="00924252" w:rsidRPr="00614A5D" w:rsidTr="00E46ADA">
        <w:trPr>
          <w:trHeight w:val="517"/>
        </w:trPr>
        <w:tc>
          <w:tcPr>
            <w:tcW w:w="2410" w:type="dxa"/>
            <w:tcBorders>
              <w:top w:val="nil"/>
            </w:tcBorders>
            <w:vAlign w:val="center"/>
          </w:tcPr>
          <w:p w:rsidR="00924252" w:rsidRPr="00614A5D" w:rsidRDefault="00924252" w:rsidP="00E46A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E46ADA">
        <w:trPr>
          <w:trHeight w:val="404"/>
        </w:trPr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E46ADA">
        <w:trPr>
          <w:trHeight w:val="411"/>
        </w:trPr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E46ADA">
        <w:trPr>
          <w:trHeight w:val="542"/>
        </w:trPr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E46ADA">
        <w:trPr>
          <w:trHeight w:val="542"/>
        </w:trPr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924252" w:rsidRPr="00614A5D" w:rsidTr="00E46ADA">
        <w:trPr>
          <w:trHeight w:val="542"/>
        </w:trPr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A5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</w:rPr>
            </w:r>
            <w:r w:rsidRPr="00614A5D">
              <w:rPr>
                <w:rFonts w:ascii="Arial" w:hAnsi="Arial" w:cs="Arial"/>
                <w:b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</w:rPr>
              <w:fldChar w:fldCharType="end"/>
            </w:r>
            <w:r w:rsidRPr="00614A5D">
              <w:rPr>
                <w:rFonts w:ascii="Arial" w:hAnsi="Arial" w:cs="Arial"/>
                <w:b/>
              </w:rPr>
              <w:t xml:space="preserve"> </w:t>
            </w:r>
            <w:r w:rsidRPr="00614A5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924252" w:rsidRPr="00614A5D" w:rsidRDefault="00924252" w:rsidP="00E46AD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14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14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614A5D">
              <w:rPr>
                <w:rFonts w:ascii="Arial" w:hAnsi="Arial" w:cs="Arial"/>
                <w:b/>
                <w:noProof/>
              </w:rPr>
            </w:r>
            <w:r w:rsidRPr="00614A5D">
              <w:rPr>
                <w:rFonts w:ascii="Arial" w:hAnsi="Arial" w:cs="Arial"/>
                <w:b/>
                <w:noProof/>
              </w:rPr>
              <w:fldChar w:fldCharType="separate"/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t> </w:t>
            </w:r>
            <w:r w:rsidRPr="00614A5D">
              <w:rPr>
                <w:rFonts w:ascii="Arial" w:hAnsi="Arial" w:cs="Arial"/>
                <w:b/>
                <w:noProof/>
              </w:rPr>
              <w:fldChar w:fldCharType="end"/>
            </w:r>
            <w:r w:rsidRPr="00614A5D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</w:tbl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24252" w:rsidRDefault="00924252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85D93" w:rsidRPr="005036E4" w:rsidRDefault="009242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04F11">
        <w:rPr>
          <w:rFonts w:ascii="Arial" w:hAnsi="Arial" w:cs="Arial"/>
          <w:sz w:val="20"/>
          <w:szCs w:val="20"/>
        </w:rPr>
      </w:r>
      <w:r w:rsidR="00B04F1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04F11">
        <w:rPr>
          <w:rFonts w:ascii="Arial" w:hAnsi="Arial" w:cs="Arial"/>
          <w:sz w:val="20"/>
          <w:szCs w:val="20"/>
        </w:rPr>
      </w:r>
      <w:r w:rsidR="00B04F1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C5056E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 w:rsidR="00C5056E"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56E" w:rsidRDefault="00C5056E" w:rsidP="00C5056E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0319D2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lastRenderedPageBreak/>
        <w:t>che l’offerta economica presentata è remunerativa giacché per la sua formulazione ha preso atto e tenuto conto:</w:t>
      </w:r>
    </w:p>
    <w:p w:rsidR="00C5056E" w:rsidRPr="000319D2" w:rsidRDefault="00C5056E" w:rsidP="00C5056E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5056E" w:rsidRPr="00013C33" w:rsidRDefault="00C5056E" w:rsidP="00C5056E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dichiara di aver effettuato uno studio approfondito del progetto esecutivo posto a base di gara e di ritenere tale progetto adeguato e realizzabile per il prezzo corrispondente all’offerta presentata;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 di prendere atto che le indicazioni delle voci e quantità riportate nel computo metrico non hanno valore negoziale essendo il prezzo, determinato attraverso lo stesso, convenuto a corpo e, pertanto, fisso ed invariabile, ai sensi dell’articolo 59, comma 5-bis, del D.lgs 50/2016 e s.m.i. Pertanto, resta a carico del concorrente stesso l’obbligo di computare, in sede di predisposizione della propria offerta, l’intera opera, facendo riferimento agli elaborati progettuali.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 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C5056E" w:rsidRPr="00013C33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C5056E" w:rsidRPr="00674766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056E" w:rsidRPr="00182F1A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5056E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5056E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C5056E" w:rsidRPr="00EB68E4" w:rsidRDefault="00C5056E" w:rsidP="00C5056E">
      <w:pPr>
        <w:numPr>
          <w:ilvl w:val="0"/>
          <w:numId w:val="1"/>
        </w:numPr>
        <w:tabs>
          <w:tab w:val="clear" w:pos="2061"/>
          <w:tab w:val="num" w:pos="560"/>
          <w:tab w:val="num" w:pos="1637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5056E" w:rsidRDefault="00C5056E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p w:rsidR="00924252" w:rsidRPr="00182F1A" w:rsidRDefault="00924252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5056E" w:rsidRPr="00182F1A" w:rsidTr="00C5056E">
        <w:trPr>
          <w:trHeight w:val="57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5056E" w:rsidRPr="00182F1A" w:rsidTr="00C5056E">
        <w:trPr>
          <w:trHeight w:val="102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056E" w:rsidRPr="00625D37" w:rsidTr="00C5056E">
        <w:trPr>
          <w:trHeight w:val="1139"/>
        </w:trPr>
        <w:tc>
          <w:tcPr>
            <w:tcW w:w="5000" w:type="pct"/>
            <w:gridSpan w:val="2"/>
            <w:vAlign w:val="center"/>
          </w:tcPr>
          <w:p w:rsidR="00C5056E" w:rsidRPr="00625D37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056E" w:rsidRPr="00625D37" w:rsidRDefault="00C5056E" w:rsidP="00BE027C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C5056E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11" w:rsidRDefault="00B04F11" w:rsidP="00A6104B">
      <w:pPr>
        <w:spacing w:after="0" w:line="240" w:lineRule="auto"/>
      </w:pPr>
      <w:r>
        <w:separator/>
      </w:r>
    </w:p>
    <w:p w:rsidR="00B04F11" w:rsidRDefault="00B04F11"/>
  </w:endnote>
  <w:endnote w:type="continuationSeparator" w:id="0">
    <w:p w:rsidR="00B04F11" w:rsidRDefault="00B04F11" w:rsidP="00A6104B">
      <w:pPr>
        <w:spacing w:after="0" w:line="240" w:lineRule="auto"/>
      </w:pPr>
      <w:r>
        <w:continuationSeparator/>
      </w:r>
    </w:p>
    <w:p w:rsidR="00B04F11" w:rsidRDefault="00B0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67836" w:rsidRPr="00F900A4" w:rsidRDefault="0096783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95315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95315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967836" w:rsidRPr="0074638C" w:rsidRDefault="00967836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967836" w:rsidRDefault="0096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11" w:rsidRDefault="00B04F11" w:rsidP="00A6104B">
      <w:pPr>
        <w:spacing w:after="0" w:line="240" w:lineRule="auto"/>
      </w:pPr>
      <w:r>
        <w:separator/>
      </w:r>
    </w:p>
    <w:p w:rsidR="00B04F11" w:rsidRDefault="00B04F11"/>
  </w:footnote>
  <w:footnote w:type="continuationSeparator" w:id="0">
    <w:p w:rsidR="00B04F11" w:rsidRDefault="00B04F11" w:rsidP="00A6104B">
      <w:pPr>
        <w:spacing w:after="0" w:line="240" w:lineRule="auto"/>
      </w:pPr>
      <w:r>
        <w:continuationSeparator/>
      </w:r>
    </w:p>
    <w:p w:rsidR="00B04F11" w:rsidRDefault="00B04F11"/>
  </w:footnote>
  <w:footnote w:id="1">
    <w:p w:rsidR="00967836" w:rsidRPr="00E726DB" w:rsidRDefault="00967836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967836" w:rsidRPr="00E726DB" w:rsidRDefault="0096783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67836" w:rsidRPr="00E726DB" w:rsidRDefault="00967836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967836" w:rsidRPr="00E726DB" w:rsidRDefault="0096783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967836" w:rsidRPr="00E726DB" w:rsidRDefault="0096783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967836" w:rsidRPr="00E726DB" w:rsidRDefault="00967836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67836" w:rsidRPr="002618E4" w:rsidRDefault="00967836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36" w:rsidRPr="00625D37" w:rsidRDefault="00967836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967836" w:rsidRDefault="009678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20"/>
  </w:num>
  <w:num w:numId="8">
    <w:abstractNumId w:val="60"/>
  </w:num>
  <w:num w:numId="9">
    <w:abstractNumId w:val="12"/>
  </w:num>
  <w:num w:numId="10">
    <w:abstractNumId w:val="10"/>
  </w:num>
  <w:num w:numId="11">
    <w:abstractNumId w:val="51"/>
  </w:num>
  <w:num w:numId="12">
    <w:abstractNumId w:val="50"/>
  </w:num>
  <w:num w:numId="13">
    <w:abstractNumId w:val="48"/>
  </w:num>
  <w:num w:numId="14">
    <w:abstractNumId w:val="11"/>
  </w:num>
  <w:num w:numId="15">
    <w:abstractNumId w:val="21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10"/>
  </w:num>
  <w:num w:numId="25">
    <w:abstractNumId w:val="30"/>
  </w:num>
  <w:num w:numId="26">
    <w:abstractNumId w:val="13"/>
  </w:num>
  <w:num w:numId="27">
    <w:abstractNumId w:val="69"/>
  </w:num>
  <w:num w:numId="28">
    <w:abstractNumId w:val="68"/>
  </w:num>
  <w:num w:numId="29">
    <w:abstractNumId w:val="67"/>
  </w:num>
  <w:num w:numId="30">
    <w:abstractNumId w:val="22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5"/>
  </w:num>
  <w:num w:numId="37">
    <w:abstractNumId w:val="38"/>
  </w:num>
  <w:num w:numId="38">
    <w:abstractNumId w:val="42"/>
  </w:num>
  <w:num w:numId="39">
    <w:abstractNumId w:val="7"/>
  </w:num>
  <w:num w:numId="40">
    <w:abstractNumId w:val="19"/>
  </w:num>
  <w:num w:numId="41">
    <w:abstractNumId w:val="31"/>
  </w:num>
  <w:num w:numId="42">
    <w:abstractNumId w:val="3"/>
  </w:num>
  <w:num w:numId="43">
    <w:abstractNumId w:val="16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4"/>
  </w:num>
  <w:num w:numId="66">
    <w:abstractNumId w:val="58"/>
  </w:num>
  <w:num w:numId="67">
    <w:abstractNumId w:val="23"/>
  </w:num>
  <w:num w:numId="68">
    <w:abstractNumId w:val="40"/>
  </w:num>
  <w:num w:numId="69">
    <w:abstractNumId w:val="18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9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e222wYuUxuw5JSuwejWqN6V6L/w=" w:salt="8qBnRXdrwAJXVDjZnlrmF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5E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02B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04F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5315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4252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67836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4F11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027C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6E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14F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46ADA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0D1D-D313-4131-893A-F75853F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10</cp:revision>
  <cp:lastPrinted>2016-05-25T07:51:00Z</cp:lastPrinted>
  <dcterms:created xsi:type="dcterms:W3CDTF">2021-06-01T18:49:00Z</dcterms:created>
  <dcterms:modified xsi:type="dcterms:W3CDTF">2021-09-07T08:22:00Z</dcterms:modified>
</cp:coreProperties>
</file>