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D049FC1" w14:textId="77777777" w:rsidR="00781B57" w:rsidRPr="00D45D63" w:rsidRDefault="00781B57" w:rsidP="00781B57">
      <w:pPr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D45D63">
        <w:rPr>
          <w:rFonts w:ascii="Arial" w:hAnsi="Arial" w:cs="Arial"/>
          <w:b/>
          <w:bCs/>
        </w:rPr>
        <w:t>Procedura negoziata per l’affidamento dell’incarico di revisione legale dei conti per il triennio 2022-2024 di Sport e salute S.p.A.</w:t>
      </w:r>
    </w:p>
    <w:p w14:paraId="75718A5F" w14:textId="77777777" w:rsidR="00781B57" w:rsidRPr="00D45D63" w:rsidRDefault="00781B57" w:rsidP="00781B57">
      <w:pPr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D45D63">
        <w:rPr>
          <w:rFonts w:ascii="Arial" w:hAnsi="Arial" w:cs="Arial"/>
          <w:b/>
          <w:bCs/>
        </w:rPr>
        <w:t>CIG 9154608D7F</w:t>
      </w:r>
    </w:p>
    <w:p w14:paraId="7C0B3B55" w14:textId="7368E355" w:rsidR="00287085" w:rsidRDefault="00781B57" w:rsidP="00781B57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D45D63">
        <w:rPr>
          <w:rFonts w:ascii="Arial" w:hAnsi="Arial" w:cs="Arial"/>
          <w:b/>
          <w:bCs/>
        </w:rPr>
        <w:t>R.A. 052_22_PN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E624B9" w14:textId="77777777" w:rsidR="00781B57" w:rsidRPr="00182F1A" w:rsidRDefault="00781B57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0284597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528FE924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02008E9E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781B57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781B57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4AE7E12E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3CB66FDD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3DEE3612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69D20A2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75EFED81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570A6CD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781B57">
        <w:rPr>
          <w:rFonts w:ascii="Arial" w:hAnsi="Arial" w:cs="Arial"/>
          <w:b/>
          <w:bCs/>
          <w:sz w:val="20"/>
          <w:szCs w:val="20"/>
        </w:rPr>
        <w:t>[</w:t>
      </w:r>
      <w:r w:rsidRPr="00781B57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781B57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781B57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781B57">
        <w:rPr>
          <w:rFonts w:ascii="Arial" w:hAnsi="Arial" w:cs="Arial"/>
          <w:b/>
          <w:bCs/>
          <w:i/>
          <w:sz w:val="20"/>
          <w:szCs w:val="20"/>
        </w:rPr>
        <w:t>o</w:t>
      </w:r>
      <w:r w:rsidRPr="00781B57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781B57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6C9A6" w14:textId="77777777" w:rsidR="00781B57" w:rsidRPr="00781B57" w:rsidRDefault="00781B57" w:rsidP="00781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45F2BD1F" w14:textId="4E5D1882" w:rsidR="00781B57" w:rsidRDefault="00781B57" w:rsidP="00781B5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 l’operatore è </w:t>
      </w:r>
      <w:r w:rsidRPr="00781B57"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tto</w:t>
      </w:r>
      <w:r w:rsidRPr="00781B57">
        <w:rPr>
          <w:rFonts w:ascii="Arial" w:hAnsi="Arial" w:cs="Arial"/>
          <w:sz w:val="20"/>
          <w:szCs w:val="20"/>
        </w:rPr>
        <w:t xml:space="preserve"> al Registro dei Revisori legali istituito presso il Ministero dell'Economia e delle Finanze ai sensi dell'art. 1, comma 1, lettera g), del D.Lgs. 39/2010</w:t>
      </w:r>
      <w:r>
        <w:rPr>
          <w:rFonts w:ascii="Arial" w:hAnsi="Arial" w:cs="Arial"/>
          <w:sz w:val="20"/>
          <w:szCs w:val="20"/>
        </w:rPr>
        <w:t>, e che i dati di iscrizione sono i seguenti: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81B57" w:rsidRPr="00182F1A" w14:paraId="310D9D3E" w14:textId="77777777" w:rsidTr="00781B57">
        <w:trPr>
          <w:trHeight w:val="531"/>
        </w:trPr>
        <w:tc>
          <w:tcPr>
            <w:tcW w:w="9072" w:type="dxa"/>
            <w:vAlign w:val="center"/>
          </w:tcPr>
          <w:p w14:paraId="4EA52873" w14:textId="45E34B99" w:rsidR="00781B57" w:rsidRPr="00182F1A" w:rsidRDefault="00781B57" w:rsidP="00A86FD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15B97192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781B57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781B57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781B57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</w:r>
            <w:r w:rsidR="00781B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781B57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1B57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1B57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1B57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1B57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1B57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1B57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1B57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1B57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1B57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</w:r>
            <w:r w:rsidR="00781B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1B57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1B57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E8F1BD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38EA7BD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5F68F861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590D7AED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4E4B7AB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6A6F83E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</w:t>
      </w:r>
      <w:r w:rsidR="00781B57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E8B0CE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7BA50778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4618B9D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1F35256C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53247C60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D2E833C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BD23A0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4B0A4BF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2A2BAFEF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81B57">
        <w:rPr>
          <w:rFonts w:ascii="Arial" w:hAnsi="Arial" w:cs="Arial"/>
          <w:sz w:val="20"/>
          <w:szCs w:val="20"/>
        </w:rPr>
      </w:r>
      <w:r w:rsidR="00781B5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69091D24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81B57">
        <w:rPr>
          <w:rFonts w:ascii="Arial" w:hAnsi="Arial" w:cs="Arial"/>
          <w:sz w:val="20"/>
          <w:szCs w:val="20"/>
        </w:rPr>
      </w:r>
      <w:r w:rsidR="00781B5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6BC5CA8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1DF7085D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4D2335EC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3CB63B2A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4B865EF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781B5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781B57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6CBEE6E5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18C961E4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00BD1CE2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10419449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E4B131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796E3F5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22B42CB6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4DB8"/>
      </v:shape>
    </w:pict>
  </w:numPicBullet>
  <w:abstractNum w:abstractNumId="0" w15:restartNumberingAfterBreak="0">
    <w:nsid w:val="CDF2B08B"/>
    <w:multiLevelType w:val="hybridMultilevel"/>
    <w:tmpl w:val="1AF6E8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8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6"/>
  </w:num>
  <w:num w:numId="4">
    <w:abstractNumId w:val="45"/>
  </w:num>
  <w:num w:numId="5">
    <w:abstractNumId w:val="2"/>
  </w:num>
  <w:num w:numId="6">
    <w:abstractNumId w:val="56"/>
  </w:num>
  <w:num w:numId="7">
    <w:abstractNumId w:val="20"/>
  </w:num>
  <w:num w:numId="8">
    <w:abstractNumId w:val="60"/>
  </w:num>
  <w:num w:numId="9">
    <w:abstractNumId w:val="12"/>
  </w:num>
  <w:num w:numId="10">
    <w:abstractNumId w:val="10"/>
  </w:num>
  <w:num w:numId="11">
    <w:abstractNumId w:val="51"/>
  </w:num>
  <w:num w:numId="12">
    <w:abstractNumId w:val="50"/>
  </w:num>
  <w:num w:numId="13">
    <w:abstractNumId w:val="48"/>
  </w:num>
  <w:num w:numId="14">
    <w:abstractNumId w:val="11"/>
  </w:num>
  <w:num w:numId="15">
    <w:abstractNumId w:val="21"/>
  </w:num>
  <w:num w:numId="16">
    <w:abstractNumId w:val="33"/>
  </w:num>
  <w:num w:numId="17">
    <w:abstractNumId w:val="62"/>
  </w:num>
  <w:num w:numId="18">
    <w:abstractNumId w:val="9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10"/>
  </w:num>
  <w:num w:numId="25">
    <w:abstractNumId w:val="30"/>
  </w:num>
  <w:num w:numId="26">
    <w:abstractNumId w:val="13"/>
  </w:num>
  <w:num w:numId="27">
    <w:abstractNumId w:val="69"/>
  </w:num>
  <w:num w:numId="28">
    <w:abstractNumId w:val="68"/>
  </w:num>
  <w:num w:numId="29">
    <w:abstractNumId w:val="67"/>
  </w:num>
  <w:num w:numId="30">
    <w:abstractNumId w:val="22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5"/>
  </w:num>
  <w:num w:numId="37">
    <w:abstractNumId w:val="38"/>
  </w:num>
  <w:num w:numId="38">
    <w:abstractNumId w:val="42"/>
  </w:num>
  <w:num w:numId="39">
    <w:abstractNumId w:val="8"/>
  </w:num>
  <w:num w:numId="40">
    <w:abstractNumId w:val="19"/>
  </w:num>
  <w:num w:numId="41">
    <w:abstractNumId w:val="31"/>
  </w:num>
  <w:num w:numId="42">
    <w:abstractNumId w:val="4"/>
  </w:num>
  <w:num w:numId="43">
    <w:abstractNumId w:val="16"/>
  </w:num>
  <w:num w:numId="44">
    <w:abstractNumId w:val="3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6"/>
  </w:num>
  <w:num w:numId="50">
    <w:abstractNumId w:val="28"/>
  </w:num>
  <w:num w:numId="51">
    <w:abstractNumId w:val="7"/>
  </w:num>
  <w:num w:numId="52">
    <w:abstractNumId w:val="1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4"/>
  </w:num>
  <w:num w:numId="66">
    <w:abstractNumId w:val="58"/>
  </w:num>
  <w:num w:numId="67">
    <w:abstractNumId w:val="23"/>
  </w:num>
  <w:num w:numId="68">
    <w:abstractNumId w:val="40"/>
  </w:num>
  <w:num w:numId="69">
    <w:abstractNumId w:val="18"/>
  </w:num>
  <w:num w:numId="70">
    <w:abstractNumId w:val="59"/>
  </w:num>
  <w:num w:numId="71">
    <w:abstractNumId w:val="61"/>
  </w:num>
  <w:num w:numId="72">
    <w:abstractNumId w:val="5"/>
  </w:num>
  <w:num w:numId="73">
    <w:abstractNumId w:val="65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zXCwhZuLF1NYvgmt/gGbtihwlpDoSkuf/C7Y3viFjg20Kk9zCdBSgldrfFvtOWdzmMPOPP+C1Z2KP6e2pKA1w==" w:salt="EgVrdzBtyZV18DFUQVBk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1B57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9</cp:revision>
  <cp:lastPrinted>2016-05-25T07:51:00Z</cp:lastPrinted>
  <dcterms:created xsi:type="dcterms:W3CDTF">2021-06-01T18:49:00Z</dcterms:created>
  <dcterms:modified xsi:type="dcterms:W3CDTF">2022-03-31T09:03:00Z</dcterms:modified>
</cp:coreProperties>
</file>