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A66DB7" w:rsidRDefault="00FA667F" w:rsidP="00FA667F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FA667F">
        <w:rPr>
          <w:rFonts w:ascii="Arial" w:hAnsi="Arial" w:cs="Arial"/>
          <w:b/>
          <w:bCs/>
        </w:rPr>
        <w:t>PROCEDURA APERTA, IN MODALITÀ TELEMATICA, RELATIVA ALL’AFFIDAMENTO DEI LAVORI DI ADEGUAMENTO FUNZIONALE DELLO STADIO DI BARLETTA (BT) “COSIMO PUT</w:t>
      </w:r>
      <w:r>
        <w:rPr>
          <w:rFonts w:ascii="Arial" w:hAnsi="Arial" w:cs="Arial"/>
          <w:b/>
          <w:bCs/>
        </w:rPr>
        <w:t xml:space="preserve">TILLI” - COMPLETAMENTO LOTTO 1. </w:t>
      </w:r>
      <w:r w:rsidRPr="00FA667F">
        <w:rPr>
          <w:rFonts w:ascii="Arial" w:hAnsi="Arial" w:cs="Arial"/>
          <w:b/>
          <w:bCs/>
        </w:rPr>
        <w:t>R.A.062/19/PA -  CIG: 8097194FDB -  CUP: J99H19000370001.</w:t>
      </w:r>
    </w:p>
    <w:p w:rsidR="00FA667F" w:rsidRPr="00FA667F" w:rsidRDefault="00FA667F" w:rsidP="00FA667F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</w:r>
            <w:r w:rsidR="00B83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</w:r>
            <w:r w:rsidR="00B83A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121EF" w:rsidRPr="005915E9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A548A4"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 Raggruppamento/GEIE/Consorzio è la seguente</w:t>
      </w:r>
      <w:r w:rsidR="00A548A4" w:rsidRPr="00A548A4">
        <w:rPr>
          <w:rFonts w:ascii="Arial" w:hAnsi="Arial" w:cs="Arial"/>
          <w:sz w:val="20"/>
          <w:szCs w:val="20"/>
        </w:rPr>
        <w:t xml:space="preserve"> </w:t>
      </w:r>
      <w:r w:rsidR="00376E8D">
        <w:rPr>
          <w:rFonts w:ascii="Arial" w:hAnsi="Arial" w:cs="Arial"/>
          <w:sz w:val="20"/>
          <w:szCs w:val="20"/>
        </w:rPr>
        <w:t>(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 xml:space="preserve">indicare le </w:t>
      </w:r>
      <w:r w:rsidR="00215923" w:rsidRPr="00773EB6">
        <w:rPr>
          <w:rFonts w:ascii="Arial" w:hAnsi="Arial" w:cs="Arial"/>
          <w:i/>
          <w:sz w:val="18"/>
          <w:szCs w:val="18"/>
          <w:lang w:eastAsia="it-IT"/>
        </w:rPr>
        <w:t xml:space="preserve">singole 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 xml:space="preserve">categorie di lavori e la </w:t>
      </w:r>
      <w:r w:rsidR="00215923" w:rsidRPr="00773EB6">
        <w:rPr>
          <w:rFonts w:ascii="Arial" w:hAnsi="Arial" w:cs="Arial"/>
          <w:i/>
          <w:sz w:val="18"/>
          <w:szCs w:val="18"/>
          <w:lang w:eastAsia="it-IT"/>
        </w:rPr>
        <w:t xml:space="preserve">relativa 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>quota percentuale di lavori che ciascuna impresa del raggruppamento intende assumere</w:t>
      </w:r>
      <w:r w:rsidR="00A548A4" w:rsidRPr="00376E8D">
        <w:rPr>
          <w:rFonts w:ascii="Arial" w:hAnsi="Arial" w:cs="Arial"/>
          <w:i/>
          <w:sz w:val="16"/>
          <w:szCs w:val="16"/>
          <w:lang w:eastAsia="it-IT"/>
        </w:rPr>
        <w:t>)</w:t>
      </w:r>
    </w:p>
    <w:tbl>
      <w:tblPr>
        <w:tblpPr w:leftFromText="141" w:rightFromText="141" w:vertAnchor="text" w:horzAnchor="margin" w:tblpX="534" w:tblpY="2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1843"/>
        <w:gridCol w:w="1843"/>
      </w:tblGrid>
      <w:tr w:rsidR="008037C9" w:rsidTr="008037C9">
        <w:trPr>
          <w:trHeight w:val="409"/>
        </w:trPr>
        <w:tc>
          <w:tcPr>
            <w:tcW w:w="2093" w:type="dxa"/>
            <w:shd w:val="clear" w:color="auto" w:fill="0070C0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OG1</w:t>
            </w:r>
          </w:p>
        </w:tc>
        <w:tc>
          <w:tcPr>
            <w:tcW w:w="1701" w:type="dxa"/>
            <w:shd w:val="clear" w:color="auto" w:fill="0070C0"/>
          </w:tcPr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S30</w:t>
            </w:r>
          </w:p>
        </w:tc>
        <w:tc>
          <w:tcPr>
            <w:tcW w:w="1843" w:type="dxa"/>
            <w:shd w:val="clear" w:color="auto" w:fill="0070C0"/>
          </w:tcPr>
          <w:p w:rsidR="008037C9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S24</w:t>
            </w:r>
          </w:p>
        </w:tc>
        <w:tc>
          <w:tcPr>
            <w:tcW w:w="1843" w:type="dxa"/>
            <w:shd w:val="clear" w:color="auto" w:fill="0070C0"/>
          </w:tcPr>
          <w:p w:rsidR="008037C9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037C9" w:rsidRPr="009C3ED5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S3</w:t>
            </w:r>
          </w:p>
        </w:tc>
      </w:tr>
      <w:tr w:rsidR="008037C9" w:rsidTr="002B7905">
        <w:trPr>
          <w:trHeight w:val="517"/>
        </w:trPr>
        <w:tc>
          <w:tcPr>
            <w:tcW w:w="2093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8037C9" w:rsidTr="002B7905">
        <w:trPr>
          <w:trHeight w:val="404"/>
        </w:trPr>
        <w:tc>
          <w:tcPr>
            <w:tcW w:w="2093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8037C9" w:rsidTr="002B7905">
        <w:trPr>
          <w:trHeight w:val="411"/>
        </w:trPr>
        <w:tc>
          <w:tcPr>
            <w:tcW w:w="2093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8037C9" w:rsidTr="002B7905">
        <w:trPr>
          <w:trHeight w:val="542"/>
        </w:trPr>
        <w:tc>
          <w:tcPr>
            <w:tcW w:w="2093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8037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8037C9" w:rsidTr="008037C9">
        <w:trPr>
          <w:trHeight w:val="542"/>
        </w:trPr>
        <w:tc>
          <w:tcPr>
            <w:tcW w:w="2093" w:type="dxa"/>
            <w:vAlign w:val="center"/>
          </w:tcPr>
          <w:p w:rsidR="008037C9" w:rsidRPr="005B1EC1" w:rsidRDefault="008037C9" w:rsidP="005915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</w:tcPr>
          <w:p w:rsidR="008037C9" w:rsidRPr="00F55418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037C9" w:rsidTr="008037C9">
        <w:trPr>
          <w:trHeight w:val="396"/>
        </w:trPr>
        <w:tc>
          <w:tcPr>
            <w:tcW w:w="2093" w:type="dxa"/>
            <w:vAlign w:val="center"/>
          </w:tcPr>
          <w:p w:rsidR="008037C9" w:rsidRPr="005B1EC1" w:rsidRDefault="008037C9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37C9" w:rsidRPr="005B1EC1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037C9" w:rsidRPr="005B1EC1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8037C9" w:rsidRPr="00A66DB7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  <w:tc>
          <w:tcPr>
            <w:tcW w:w="1843" w:type="dxa"/>
          </w:tcPr>
          <w:p w:rsidR="008037C9" w:rsidRPr="00F55418" w:rsidRDefault="008037C9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E32B40" w:rsidRDefault="00DB2290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3A9A">
        <w:rPr>
          <w:rFonts w:ascii="Arial" w:hAnsi="Arial" w:cs="Arial"/>
          <w:sz w:val="20"/>
          <w:szCs w:val="20"/>
        </w:rPr>
      </w:r>
      <w:r w:rsidR="00B83A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3A9A">
        <w:rPr>
          <w:rFonts w:ascii="Arial" w:hAnsi="Arial" w:cs="Arial"/>
          <w:sz w:val="20"/>
          <w:szCs w:val="20"/>
        </w:rPr>
      </w:r>
      <w:r w:rsidR="00B83A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76E8D"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8121EF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Categoria</w:t>
            </w:r>
          </w:p>
        </w:tc>
        <w:tc>
          <w:tcPr>
            <w:tcW w:w="1303" w:type="pct"/>
            <w:shd w:val="clear" w:color="auto" w:fill="0070C0"/>
          </w:tcPr>
          <w:p w:rsidR="008121EF" w:rsidRPr="00376E8D" w:rsidRDefault="00931166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76E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Percentuale% di esecuzione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464848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:rsidR="00DB2290" w:rsidRPr="00464848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4961"/>
      </w:tblGrid>
      <w:tr w:rsidR="00464848" w:rsidRPr="005036E4" w:rsidTr="00464848">
        <w:tc>
          <w:tcPr>
            <w:tcW w:w="3657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4961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P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tipologia e percentuale) che assume nella ripartizione dell’oggetto contrattuale all’interno della Rete è la seguente:</w:t>
      </w:r>
    </w:p>
    <w:tbl>
      <w:tblPr>
        <w:tblW w:w="85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3744"/>
      </w:tblGrid>
      <w:tr w:rsidR="00464848" w:rsidRPr="005036E4" w:rsidTr="00464848">
        <w:trPr>
          <w:trHeight w:val="660"/>
        </w:trPr>
        <w:tc>
          <w:tcPr>
            <w:tcW w:w="4781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3744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02E33" w:rsidRPr="00C02E33" w:rsidRDefault="00F81777" w:rsidP="00C02E33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P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81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3567"/>
      </w:tblGrid>
      <w:tr w:rsidR="00464848" w:rsidRPr="005036E4" w:rsidTr="00464848">
        <w:trPr>
          <w:trHeight w:val="625"/>
        </w:trPr>
        <w:tc>
          <w:tcPr>
            <w:tcW w:w="4554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3567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FA667F" w:rsidRPr="00FA667F" w:rsidRDefault="00D42AB4" w:rsidP="00FA66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ai fini dell’esecuzione delle lavorazioni di cui alla categoria OS30 dichiara </w:t>
      </w:r>
      <w:r w:rsidR="00FA667F">
        <w:rPr>
          <w:rFonts w:ascii="Arial" w:hAnsi="Arial" w:cs="Arial"/>
          <w:sz w:val="20"/>
          <w:szCs w:val="20"/>
        </w:rPr>
        <w:t xml:space="preserve">di essere in </w:t>
      </w:r>
      <w:r w:rsidR="00D71686" w:rsidRPr="00915DC2">
        <w:rPr>
          <w:rFonts w:ascii="Arial" w:hAnsi="Arial" w:cs="Arial"/>
          <w:sz w:val="20"/>
          <w:szCs w:val="20"/>
        </w:rPr>
        <w:t xml:space="preserve">possesso dei requisiti di cui agli artt. 3 e 4 del decreto del Ministero dello Sviluppo </w:t>
      </w:r>
      <w:r w:rsidR="00FA667F">
        <w:rPr>
          <w:rFonts w:ascii="Arial" w:hAnsi="Arial" w:cs="Arial"/>
          <w:sz w:val="20"/>
          <w:szCs w:val="20"/>
        </w:rPr>
        <w:t xml:space="preserve">Economico n. 37 del 22/02/2008; 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:rsidR="00ED3F8E" w:rsidRPr="00744BCA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>, del D.lgs 50/2016 e s.m.i. Pertanto, resta a carico del concorrente</w:t>
      </w:r>
      <w:r w:rsidRPr="0030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stesso</w:t>
      </w:r>
      <w:r w:rsidRPr="00302DC2">
        <w:rPr>
          <w:rFonts w:ascii="Arial" w:hAnsi="Arial" w:cs="Arial"/>
          <w:sz w:val="20"/>
          <w:szCs w:val="20"/>
        </w:rPr>
        <w:t xml:space="preserve">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ED3F8E" w:rsidRPr="00744BCA" w:rsidRDefault="00B7523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3F8E"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B7523E" w:rsidRPr="00B7523E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47550B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F21838" w:rsidRPr="00B7523E" w:rsidRDefault="00851076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6" w:rsidRDefault="003D64E6" w:rsidP="00A6104B">
      <w:pPr>
        <w:spacing w:after="0" w:line="240" w:lineRule="auto"/>
      </w:pPr>
      <w:r>
        <w:separator/>
      </w:r>
    </w:p>
  </w:endnote>
  <w:endnote w:type="continuationSeparator" w:id="0">
    <w:p w:rsidR="003D64E6" w:rsidRDefault="003D64E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1686" w:rsidRPr="00F900A4" w:rsidRDefault="00D7168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83A9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83A9A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71686" w:rsidRPr="0074638C" w:rsidRDefault="00D71686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6" w:rsidRDefault="003D64E6" w:rsidP="00A6104B">
      <w:pPr>
        <w:spacing w:after="0" w:line="240" w:lineRule="auto"/>
      </w:pPr>
      <w:r>
        <w:separator/>
      </w:r>
    </w:p>
  </w:footnote>
  <w:footnote w:type="continuationSeparator" w:id="0">
    <w:p w:rsidR="003D64E6" w:rsidRDefault="003D64E6" w:rsidP="00A6104B">
      <w:pPr>
        <w:spacing w:after="0" w:line="240" w:lineRule="auto"/>
      </w:pPr>
      <w:r>
        <w:continuationSeparator/>
      </w:r>
    </w:p>
  </w:footnote>
  <w:footnote w:id="1">
    <w:p w:rsidR="00D71686" w:rsidRPr="00E726DB" w:rsidRDefault="00D71686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71686" w:rsidRPr="00E726DB" w:rsidRDefault="00D7168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71686" w:rsidRPr="00E726DB" w:rsidRDefault="00D7168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D71686" w:rsidRPr="002618E4" w:rsidRDefault="00D71686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86" w:rsidRPr="00625D37" w:rsidRDefault="00D71686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XQi0fsmF4FFFTJ/YKOp7yrLxZbA=" w:salt="I84msZSLCoHLasa4x32R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166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1D9B"/>
    <w:rsid w:val="0014331E"/>
    <w:rsid w:val="00146F13"/>
    <w:rsid w:val="001536F5"/>
    <w:rsid w:val="00155D29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C0093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CF5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4E6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37F9D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729FD"/>
    <w:rsid w:val="004753F9"/>
    <w:rsid w:val="0047550B"/>
    <w:rsid w:val="00480CDE"/>
    <w:rsid w:val="00480CFC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58E4"/>
    <w:rsid w:val="005E66B0"/>
    <w:rsid w:val="005E680D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71D"/>
    <w:rsid w:val="00786CDF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7C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34EC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A9A"/>
    <w:rsid w:val="00B83F77"/>
    <w:rsid w:val="00B911B2"/>
    <w:rsid w:val="00B92E9F"/>
    <w:rsid w:val="00B95EA5"/>
    <w:rsid w:val="00B961D9"/>
    <w:rsid w:val="00BA1669"/>
    <w:rsid w:val="00BA77B9"/>
    <w:rsid w:val="00BB0D81"/>
    <w:rsid w:val="00BB55B1"/>
    <w:rsid w:val="00BC077F"/>
    <w:rsid w:val="00BC39A6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1ED5"/>
    <w:rsid w:val="00C028B5"/>
    <w:rsid w:val="00C02E33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6590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2AB4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67DE2"/>
    <w:rsid w:val="00D700D4"/>
    <w:rsid w:val="00D702C9"/>
    <w:rsid w:val="00D71612"/>
    <w:rsid w:val="00D71686"/>
    <w:rsid w:val="00D72306"/>
    <w:rsid w:val="00D75119"/>
    <w:rsid w:val="00D76C2E"/>
    <w:rsid w:val="00D8119A"/>
    <w:rsid w:val="00D833C4"/>
    <w:rsid w:val="00D85D3B"/>
    <w:rsid w:val="00D864F0"/>
    <w:rsid w:val="00D86567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2290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11D2"/>
    <w:rsid w:val="00F52804"/>
    <w:rsid w:val="00F54103"/>
    <w:rsid w:val="00F553C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667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4D4C-8FBA-4A32-B697-0FC1A1B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63</cp:revision>
  <cp:lastPrinted>2019-07-15T08:44:00Z</cp:lastPrinted>
  <dcterms:created xsi:type="dcterms:W3CDTF">2019-07-09T12:43:00Z</dcterms:created>
  <dcterms:modified xsi:type="dcterms:W3CDTF">2019-11-23T18:00:00Z</dcterms:modified>
</cp:coreProperties>
</file>