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CA0E3A9" w14:textId="77777777" w:rsidR="00D05B01" w:rsidRDefault="00D05B01" w:rsidP="00D05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4EB49B14" w14:textId="77777777" w:rsidR="00D05B01" w:rsidRPr="00F80F2A" w:rsidRDefault="00D05B01" w:rsidP="00D05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F80F2A">
        <w:rPr>
          <w:rFonts w:ascii="Arial" w:hAnsi="Arial" w:cs="Arial"/>
          <w:b/>
          <w:lang w:eastAsia="it-IT"/>
        </w:rPr>
        <w:t>Procedura aperta per l’affidamento del servizio di facchinaggio da espletarsi presso gli immobili e impianti sportivi della Sport e Salute S.p.A. in Roma.</w:t>
      </w:r>
    </w:p>
    <w:p w14:paraId="01AE2051" w14:textId="77777777" w:rsidR="00D05B01" w:rsidRPr="00F80F2A" w:rsidRDefault="00D05B01" w:rsidP="00D05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6796DF40" w14:textId="69299E0A" w:rsidR="00287085" w:rsidRDefault="00D05B01" w:rsidP="00D0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  <w:r w:rsidRPr="00F80F2A">
        <w:rPr>
          <w:rFonts w:ascii="Arial" w:hAnsi="Arial" w:cs="Arial"/>
          <w:b/>
          <w:lang w:eastAsia="it-IT"/>
        </w:rPr>
        <w:t>CIG 8616980CD6</w:t>
      </w:r>
      <w:r>
        <w:rPr>
          <w:rFonts w:ascii="Arial" w:hAnsi="Arial" w:cs="Arial"/>
          <w:b/>
          <w:lang w:eastAsia="it-IT"/>
        </w:rPr>
        <w:t xml:space="preserve"> - </w:t>
      </w:r>
      <w:r w:rsidRPr="00F80F2A">
        <w:rPr>
          <w:rFonts w:ascii="Arial" w:hAnsi="Arial" w:cs="Arial"/>
          <w:b/>
          <w:lang w:eastAsia="it-IT"/>
        </w:rPr>
        <w:t>R.A. 004/21/PA</w:t>
      </w:r>
    </w:p>
    <w:p w14:paraId="434AB82A" w14:textId="77777777" w:rsidR="00D05B01" w:rsidRPr="00D05B01" w:rsidRDefault="00D05B01" w:rsidP="00D0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8C16F3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</w:r>
            <w:r w:rsidR="00F31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8C16F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8C16F3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8C16F3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8C16F3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</w:r>
            <w:r w:rsidR="00F3159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321975E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6AB8E416" w:rsidR="00E32B40" w:rsidRDefault="00D13CB0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3159C">
        <w:rPr>
          <w:rFonts w:ascii="Arial" w:hAnsi="Arial" w:cs="Arial"/>
          <w:sz w:val="20"/>
          <w:szCs w:val="20"/>
        </w:rPr>
      </w:r>
      <w:r w:rsidR="00F3159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3159C">
        <w:rPr>
          <w:rFonts w:ascii="Arial" w:hAnsi="Arial" w:cs="Arial"/>
          <w:sz w:val="20"/>
          <w:szCs w:val="20"/>
        </w:rPr>
      </w:r>
      <w:r w:rsidR="00F3159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52131268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F316482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2BC65584" w:rsidR="00E504F2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p w14:paraId="72CB7753" w14:textId="77777777" w:rsidR="00D13CB0" w:rsidRPr="005036E4" w:rsidRDefault="00D13CB0" w:rsidP="00D13CB0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601F4C7E" w:rsidR="00F81777" w:rsidRDefault="00F81777" w:rsidP="00D13CB0">
      <w:pPr>
        <w:pStyle w:val="Paragrafoelenco"/>
        <w:spacing w:before="120" w:after="120" w:line="280" w:lineRule="exact"/>
        <w:ind w:left="1276"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2ADAB35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B8DD410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B0D526A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44D633A" w14:textId="07832E3C" w:rsidR="00F21838" w:rsidRPr="00D13CB0" w:rsidRDefault="00851076" w:rsidP="00D13CB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4A50F7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8C16F3" w:rsidRDefault="008C16F3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8C16F3" w:rsidRDefault="008C16F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AD4E76A" w:rsidR="008C16F3" w:rsidRPr="00F900A4" w:rsidRDefault="008C16F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159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3159C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C16F3" w:rsidRPr="0074638C" w:rsidRDefault="008C16F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8C16F3" w:rsidRDefault="008C16F3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8C16F3" w:rsidRDefault="008C16F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C16F3" w:rsidRPr="00E726DB" w:rsidRDefault="008C16F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8C16F3" w:rsidRPr="002618E4" w:rsidRDefault="008C16F3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C16F3" w:rsidRPr="00625D37" w:rsidRDefault="008C16F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Z9woiEtoD1JcFAScgVsf/7LlR3UE+bHXBeIMnu1vC0dIrcXBpmr+Ki6baUHGQsQRGeeh4uUZdrO56rftS+/Kw==" w:salt="Ym79YgyZJ2eUPDQo45vu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1F20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B68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2D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16F3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342C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6627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B01"/>
    <w:rsid w:val="00D05F35"/>
    <w:rsid w:val="00D11EAF"/>
    <w:rsid w:val="00D13CB0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59C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3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3C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52E2-F470-4F1E-89DC-2096C4E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32</cp:revision>
  <cp:lastPrinted>2016-05-25T07:51:00Z</cp:lastPrinted>
  <dcterms:created xsi:type="dcterms:W3CDTF">2018-06-21T09:50:00Z</dcterms:created>
  <dcterms:modified xsi:type="dcterms:W3CDTF">2021-02-18T09:03:00Z</dcterms:modified>
</cp:coreProperties>
</file>