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59BDA2EA" w14:textId="62CAFF5E" w:rsidR="006A37D5" w:rsidRPr="00535C88" w:rsidRDefault="006A37D5" w:rsidP="006A37D5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Theme="minorHAnsi" w:hAnsiTheme="minorHAnsi" w:cstheme="minorHAnsi"/>
          <w:b/>
          <w:bCs/>
        </w:rPr>
      </w:pPr>
      <w:r w:rsidRPr="00535C88">
        <w:rPr>
          <w:rFonts w:asciiTheme="minorHAnsi" w:hAnsiTheme="minorHAnsi" w:cstheme="minorHAnsi"/>
          <w:b/>
          <w:bCs/>
        </w:rPr>
        <w:t>Gara europea a procedura telematica aperta per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l’affidamento, in regime di Accordo Quadro con più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operatori economici, ai sensi dell’articolo 54, comma 4,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 xml:space="preserve">lettera a) del </w:t>
      </w:r>
      <w:proofErr w:type="spellStart"/>
      <w:r w:rsidRPr="00535C88">
        <w:rPr>
          <w:rFonts w:asciiTheme="minorHAnsi" w:hAnsiTheme="minorHAnsi" w:cstheme="minorHAnsi"/>
          <w:b/>
          <w:bCs/>
        </w:rPr>
        <w:t>D.Lgs.</w:t>
      </w:r>
      <w:proofErr w:type="spellEnd"/>
      <w:r w:rsidRPr="00535C88">
        <w:rPr>
          <w:rFonts w:asciiTheme="minorHAnsi" w:hAnsiTheme="minorHAnsi" w:cstheme="minorHAnsi"/>
          <w:b/>
          <w:bCs/>
        </w:rPr>
        <w:t xml:space="preserve"> 50/2016, dei servizi di progettazione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e noleggio di materiali tecnologici audio video e luci per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eventi.</w:t>
      </w:r>
    </w:p>
    <w:p w14:paraId="6730C632" w14:textId="5B1FC359" w:rsidR="00586CC2" w:rsidRPr="00586CC2" w:rsidRDefault="00586CC2" w:rsidP="006A37D5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586CC2">
        <w:rPr>
          <w:rFonts w:ascii="Arial" w:hAnsi="Arial" w:cs="Arial"/>
          <w:b/>
          <w:bCs/>
          <w:sz w:val="20"/>
          <w:szCs w:val="20"/>
        </w:rPr>
        <w:t>CIG 93389823BF</w:t>
      </w:r>
    </w:p>
    <w:p w14:paraId="7F7D4A1B" w14:textId="55305AFB" w:rsidR="003F4074" w:rsidRPr="003A2C14" w:rsidRDefault="00586CC2" w:rsidP="00586CC2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586CC2">
        <w:rPr>
          <w:rFonts w:ascii="Arial" w:hAnsi="Arial" w:cs="Arial"/>
          <w:b/>
          <w:bCs/>
          <w:sz w:val="20"/>
          <w:szCs w:val="20"/>
        </w:rPr>
        <w:t>R.A. 143_22_PA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5C4DB7F0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 xml:space="preserve">codice </w:t>
      </w:r>
      <w:r w:rsidRPr="003A2C14">
        <w:rPr>
          <w:rFonts w:ascii="Arial" w:hAnsi="Arial" w:cs="Arial"/>
          <w:sz w:val="20"/>
          <w:szCs w:val="20"/>
        </w:rPr>
        <w:lastRenderedPageBreak/>
        <w:t>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48F90A1" w14:textId="20827C01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6A37D5">
        <w:rPr>
          <w:rFonts w:ascii="Arial" w:hAnsi="Arial" w:cs="Arial"/>
          <w:sz w:val="20"/>
          <w:szCs w:val="20"/>
        </w:rPr>
      </w:r>
      <w:r w:rsidR="006A37D5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D40754">
        <w:rPr>
          <w:rFonts w:ascii="Arial" w:hAnsi="Arial" w:cs="Arial"/>
          <w:b/>
          <w:sz w:val="20"/>
          <w:szCs w:val="20"/>
        </w:rPr>
        <w:t xml:space="preserve">6.2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00771AB4" w:rsidR="004D60CF" w:rsidRPr="003A2C14" w:rsidRDefault="00920FBB" w:rsidP="009E5122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</w:r>
            <w:r w:rsidR="006A37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D4075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A37D5">
              <w:rPr>
                <w:rFonts w:ascii="Arial" w:hAnsi="Arial" w:cs="Arial"/>
                <w:b/>
              </w:rPr>
            </w:r>
            <w:r w:rsidR="006A37D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3E0C9509" w14:textId="77777777" w:rsidR="009E5122" w:rsidRPr="000500AE" w:rsidRDefault="009E5122" w:rsidP="009E512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B5608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3B5608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3B5608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3B5608">
        <w:rPr>
          <w:rFonts w:ascii="Arial" w:hAnsi="Arial" w:cs="Arial"/>
          <w:sz w:val="20"/>
          <w:szCs w:val="20"/>
        </w:rPr>
        <w:t>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45ABE8F2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6F1473D6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BCFC" w14:textId="77777777" w:rsidR="004925BF" w:rsidRDefault="004925BF" w:rsidP="00A6104B">
      <w:pPr>
        <w:spacing w:after="0" w:line="240" w:lineRule="auto"/>
      </w:pPr>
      <w:r>
        <w:separator/>
      </w:r>
    </w:p>
  </w:endnote>
  <w:endnote w:type="continuationSeparator" w:id="0">
    <w:p w14:paraId="007F33C1" w14:textId="77777777" w:rsidR="004925BF" w:rsidRDefault="004925B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C96" w14:textId="77777777" w:rsidR="004925BF" w:rsidRDefault="004925BF" w:rsidP="00A6104B">
      <w:pPr>
        <w:spacing w:after="0" w:line="240" w:lineRule="auto"/>
      </w:pPr>
      <w:r>
        <w:separator/>
      </w:r>
    </w:p>
  </w:footnote>
  <w:footnote w:type="continuationSeparator" w:id="0">
    <w:p w14:paraId="2918CF6C" w14:textId="77777777" w:rsidR="004925BF" w:rsidRDefault="004925BF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21073067">
    <w:abstractNumId w:val="4"/>
  </w:num>
  <w:num w:numId="2" w16cid:durableId="1324819781">
    <w:abstractNumId w:val="7"/>
  </w:num>
  <w:num w:numId="3" w16cid:durableId="692264135">
    <w:abstractNumId w:val="3"/>
  </w:num>
  <w:num w:numId="4" w16cid:durableId="2015185757">
    <w:abstractNumId w:val="5"/>
  </w:num>
  <w:num w:numId="5" w16cid:durableId="658728079">
    <w:abstractNumId w:val="6"/>
  </w:num>
  <w:num w:numId="6" w16cid:durableId="1187060957">
    <w:abstractNumId w:val="0"/>
  </w:num>
  <w:num w:numId="7" w16cid:durableId="542912712">
    <w:abstractNumId w:val="2"/>
  </w:num>
  <w:num w:numId="8" w16cid:durableId="1031224154">
    <w:abstractNumId w:val="8"/>
  </w:num>
  <w:num w:numId="9" w16cid:durableId="17222901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3AV1XmNU/3eeC9rU5A62+ZzY6wXee+6TlOn8cCn9hfvTKBuW+QYKfUKnn4MBjSs7a4Mo6PZZp5ICiivYRcaQ==" w:salt="O5DoQUy0uY88o5fk/2MPd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25BF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86CC2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7D5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E5122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754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BE8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14</cp:revision>
  <cp:lastPrinted>2014-06-04T14:17:00Z</cp:lastPrinted>
  <dcterms:created xsi:type="dcterms:W3CDTF">2019-07-03T15:01:00Z</dcterms:created>
  <dcterms:modified xsi:type="dcterms:W3CDTF">2022-10-19T06:37:00Z</dcterms:modified>
</cp:coreProperties>
</file>